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2C8" w:rsidRDefault="00B902C8">
      <w:pPr>
        <w:autoSpaceDE w:val="0"/>
        <w:autoSpaceDN w:val="0"/>
        <w:adjustRightInd w:val="0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附件3</w:t>
      </w:r>
    </w:p>
    <w:p w:rsidR="00B902C8" w:rsidRDefault="000C7684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  <w:t>2024</w:t>
      </w:r>
      <w:r w:rsidR="00B902C8"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年度福建省科学技术奖</w:t>
      </w:r>
    </w:p>
    <w:p w:rsidR="00B902C8" w:rsidRDefault="00B902C8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提名项目（人选）公示内容</w:t>
      </w:r>
    </w:p>
    <w:p w:rsidR="00B902C8" w:rsidRDefault="00B902C8">
      <w:pPr>
        <w:autoSpaceDE w:val="0"/>
        <w:autoSpaceDN w:val="0"/>
        <w:adjustRightInd w:val="0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</w:p>
    <w:p w:rsidR="00B902C8" w:rsidRDefault="00B902C8">
      <w:pPr>
        <w:autoSpaceDE w:val="0"/>
        <w:autoSpaceDN w:val="0"/>
        <w:adjustRightInd w:val="0"/>
        <w:spacing w:line="560" w:lineRule="exact"/>
        <w:rPr>
          <w:sz w:val="28"/>
          <w:szCs w:val="28"/>
          <w:lang w:val="en-GB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项目名称：</w:t>
      </w:r>
      <w:r w:rsidR="000C7684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高光效高可靠性薄膜芯片及高性能照明系统关键技术研发与产业化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提名奖种：</w:t>
      </w:r>
      <w:r w:rsidR="000C7684" w:rsidRPr="006F0B81">
        <w:rPr>
          <w:rFonts w:ascii="仿宋_GB2312" w:eastAsia="仿宋_GB2312" w:hAnsi="仿宋_GB2312" w:cs="仿宋_GB2312"/>
          <w:kern w:val="0"/>
          <w:sz w:val="28"/>
          <w:szCs w:val="28"/>
        </w:rPr>
        <w:t>科学技术进步奖</w:t>
      </w:r>
    </w:p>
    <w:p w:rsidR="00B902C8" w:rsidRDefault="00B902C8" w:rsidP="00605C7A">
      <w:pPr>
        <w:pStyle w:val="HTML"/>
        <w:shd w:val="clear" w:color="auto" w:fill="FFFFFF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提名单位：</w:t>
      </w:r>
      <w:r w:rsidR="000C7684" w:rsidRPr="006F0B81">
        <w:rPr>
          <w:rFonts w:ascii="仿宋_GB2312" w:eastAsia="仿宋_GB2312" w:hAnsi="仿宋_GB2312" w:cs="仿宋_GB2312" w:hint="eastAsia"/>
          <w:sz w:val="28"/>
          <w:szCs w:val="28"/>
        </w:rPr>
        <w:t>厦门市科学技术局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项目简介：</w:t>
      </w:r>
      <w:r>
        <w:br/>
      </w:r>
      <w:r w:rsidR="00CC3516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在全球气候治理加速背景下，LED照明产业已成为我国实现双碳目标的核心路径。根据《十四五规划和2035年远景目标纲要》，到2025年LED照明渗透率将突破85%，预计带动节电1.48万亿度、减碳13.42亿吨，对能源结构转型的贡献率超过12%。然而当前产业面临三大制约：其一，低端产能过剩，市面产品普遍存在光衰快、寿命短、智能化水平低等问题，导致高端市场被日美企业垄断；其二，核心技术受制于人，高端薄膜芯片进口依赖度超80%，其光效、散热性能等指标均优于国产产品，严重威胁产业链安全；其三，技术瓶颈亟待突破，光效提升面临量子效率衰减、热管理效率低等难题，智能集成缺乏统一标准。</w:t>
        <w:cr/>
        <w:t/>
        <w:cr/>
        <w:t>本项目从2016年开始自主创新研究，突破外延芯片技术、器件封装技术、灯具技术、驱动和智能控制技术等多个技术瓶颈和难题，完成薄膜芯片及智能照明灯具的开发、量产及应用，光效、性能和可靠性均达到业界领先水平，实现薄膜芯片国产化替代。</w:t>
        <w:cr/>
        <w:t/>
        <w:cr/>
        <w:t>创新点包括：</w:t>
        <w:cr/>
        <w:t/>
        <w:cr/>
        <w:t>（1）开发易于激光剥离的新型AlON缓冲层，在业界首次提出采用O掺杂辅助的AlNO新型缓冲层技术，提升外延晶体质量，绿光电光转换效率达到业界最高水准（41.9%)，远高于业界同期最好水平（36%），解决卡脖子产业难题。</w:t>
        <w:cr/>
        <w:t/>
        <w:cr/>
        <w:t>（2）创新开发新一代高光效低热阻薄膜芯片技术，通过创新性地开发载流子注入结构、反射镜结构、集成金属层及空洞填充技术，有效提升光提取效率并降低芯片热阻，结合瞬态液相键合技术和激光应力缓冲剥离技术，成功开发新一代薄膜芯片，打破国外技术垄断，解决了国内薄膜芯片供应的卡脖子问题，将绿光发光效率提升到46%，进一步扩大了领先优势。</w:t>
        <w:cr/>
        <w:t/>
        <w:cr/>
        <w:t>（3）高光效高可靠性LED器件及产品设计技术，通过开发多芯片三维集成封装与梯度复合陶瓷基板技术、有机硅气凝胶隔离层技术，提高薄膜器件的光效和可靠性，结合智能双模动态补偿技术，为薄膜器件提供超稳定电源，实现整灯221lm/W的全球市场最高能效等级A级能效。此外，创新开发动态压力平衡散热系统，在实现IP68防护的同时突破传统散热瓶颈，大幅延缓光衰，灯具寿命跨越式突破102000小时，处于业界领先水准。</w:t>
        <w:cr/>
        <w:t/>
        <w:cr/>
        <w:t>（4）高效率智能照明驱动与光谱控制技术，通过智能电压动态切换与Boost+LDO混合拓扑驱动技术，实现高效无频闪的智能照明控制，结合遗传算法和多峰混光优化技术，发挥薄膜芯片优势，构建类太阳光谱，同步支持昼夜节律调节，形成硬件-算法-系统协同优化的智能照明解决方案。</w:t>
        <w:cr/>
        <w:t/>
        <w:cr/>
        <w:t>本项目授权专利90件、其中发明专利45件，发表论文1篇，多项技术达到业界领先水平，获得厦门市科学技术进步奖二等奖等；项目量产的高光效高可靠性薄膜芯片及智能照明产品已在亚洲、欧盟、北美等全球60多个国家和地区销售，近三年累计实现销售收入40.40亿元，新增利润3.17亿元，经济和社会效益显著。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主要完成单位：</w:t>
      </w:r>
      <w:r>
        <w:br/>
      </w:r>
      <w:r w:rsidR="002B3E42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1.厦门乾照光电股份有限公司;</w:t>
        <w:cr/>
        <w:t>2.漳州立达信光电子科技有限公司;</w:t>
        <w:cr/>
        <w:t>3.厦门大学;</w:t>
        <w:cr/>
        <w:t>4.厦门立达信数字教育科技有限公司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 xml:space="preserve">主要完成人及其贡献： </w:t>
      </w:r>
      <w:r>
        <w:br/>
      </w:r>
      <w:r w:rsidR="002B3E42" w:rsidRPr="006F0B81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1、陈凯轩：</w:t>
        <w:cr/>
        <w:t>项目负责人，负责项目总体设计、组织实施和相关系列技术推广，完成项目整体技术路线、产业路线的规划与落地。负责创新点一、二的整体方案规划、评审与落地，并对创新效果与产业化负责，是关键技术的攻关带头人、技术创新点一、二的重要贡献者。是项目代表性论文1的通讯作者，与项目相关的代表性专利成果57项。在该项技术研发工作中投入的工作量占本人工作总量的90%。</w:t>
        <w:cr/>
        <w:t>2、刘宗源：</w:t>
        <w:cr/>
        <w:t>项目骨干人员，负责对本项目进行策划管理与整体协调，推动项目的顺利开展以及成果的落成与产业化应用等。在本项目的开发中，本人负责技术创新点三、四的方案指导，取得与项目相关的代表性专利成果9项，是技术创新点三、四的的重要贡献者。在该项技术研发工作中投入的工作量占本人工作总量的85%。</w:t>
        <w:cr/>
        <w:t>3、曲晓东：</w:t>
        <w:cr/>
        <w:t>项目骨干人员，负责薄膜芯片的核心关键技术攻关、产品的迭代和整体方案规划。负责对创新点二的技术与设计方案进行指导和审核，推动项目的进行，是技术创新点二的主要贡献者，取得与项目相关的代表性专利成果24项。在该项技术研发工作中投入的工作量占本人工作总量的85%。</w:t>
        <w:cr/>
        <w:t>4、王爱民：</w:t>
        <w:cr/>
        <w:t>项目骨干人员，为创新点一的重要贡献者。与厦门乾照光电股份有限公司共同开发创新点一外延生长工艺，提出O掺杂辅助的AlNO复合缓冲层技术，提高PSS衬底上外延结构材料的晶体质量，提高LED光电转换效率。是项目代表性论文1的第一作者，与项目相关的代表性专利成果4项。在该项技术研发工作中投入的工作量占本人工作总量的75%。</w:t>
        <w:cr/>
        <w:t>5、林起锵：</w:t>
        <w:cr/>
        <w:t>项目骨干人员，参与本项目的技术研究与开发，在智能照明调光调色电路开发、高效率照明驱动电路开发等方面做出了突破性贡献。通过参与项目技术的研究，取得了与项目相关的代表性专利成果8项，是技术创新点三、四的的重要贡献者。在该项技术研发工作中投入的工作量占本人工作总量的80%。</w:t>
        <w:cr/>
        <w:t>6、杨克伟：</w:t>
        <w:cr/>
        <w:t>项目骨干人员，主要负责项目中芯片技术部分的开发，是技术创新点二的重要贡献者，代表性专利16件。在该项技术研发工作中投入的工作量占本人工作总量的70%。</w:t>
        <w:cr/>
        <w:t>7、赵斌：</w:t>
        <w:cr/>
        <w:t>项目骨干人员，主要负责项目中芯片技术部分的开发，是技术创新点二的重要贡献者，代表性专利23件。在该项技术研发工作中投入的工作量占本人工作总量的50%。</w:t>
        <w:cr/>
        <w:t>8、杨育夫：</w:t>
        <w:cr/>
        <w:t>项目骨干人员，主要负责项目合作对接，在项目管理、项目成果落成与产业化应用等方面做出贡献，是技术创新点四的的重要贡献者。在该项技术研发工作中投入的工作量占本人工作总量的50%。</w:t>
        <w:cr/>
        <w:t/>
      </w:r>
      <w:r>
        <w:br/>
      </w:r>
    </w:p>
    <w:p w:rsidR="00B902C8" w:rsidRPr="006F0B81" w:rsidRDefault="00B902C8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主要知识产权目录：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1、发明专利 / 一种垂直结构LED芯片及其制作方法 / ZL202111505447.0 / 中国 / 1 : 厦门乾照光电股份有限公司 / 1 : 杨克伟,2 : 曲晓东,3 : 赵斌,4 : 罗桂兰,5 : 林志伟,6 : 陈凯轩,7 : 蔡玉梅,8 : 崔恒平,9 : 蔡海防 / 有效</w:t>
        <w:cr/>
        <w:t>2、发明专利 / 一种通孔式垂直结构LED芯片及其制作方法 / ZL202110562795.5 / 中国 / 1 : 厦门乾照光电股份有限公司 / 1 : 曲晓东,2 : 陈凯轩,3 : 杨克伟,4 : 林志伟,5 : 赵斌 / 有效</w:t>
        <w:cr/>
        <w:t>3、发明专利 / 一种通孔填充式LED芯片及其制作方法 / ZL202011214208.5 / 中国 / 1 : 厦门乾照光电股份有限公司 / 1 : 曲晓东,2 : 陈凯轩,3 : 林志伟,4 : 罗桂兰,5 : 杨克伟,6 : 赵斌 / 有效</w:t>
        <w:cr/>
        <w:t>4、发明专利 / 一种薄膜生长组件、方法和LED制备方法 / ZL201910501546.8 / 中国 / 1 : 厦门乾照光电股份有限公司 / 1 : 王爱民,2 : 程伟,3 : 尧刚,4 : 卓祥景 / 有效</w:t>
        <w:cr/>
        <w:t>5、发明专利 / 垂直结构芯片及制作方法 / ZL201910428186.3 / 中国 / 1 : 厦门乾照光电股份有限公司 / 1 : 曲晓东,2 : 陈凯轩,3 : 赵斌,4 : 林志伟 / 有效</w:t>
        <w:cr/>
        <w:t>6、发明专利 / 一种垂直高压发光二极管芯片及其制作方法 / ZL201910360845.4 / 中国 / 1 : 厦门乾照光电股份有限公司 / 1 : 曲晓东,2 : 陈凯轩,3 : 赵斌,4 : 李俊贤,5 : 刘英策 / 有效</w:t>
        <w:cr/>
        <w:t>7、发明专利 / CONSTANT-CURRENT DRIVE CIRCUIT, CONSTANT-CURRENT DRIVE DEVICE AND LAMP / EP4037439 / 欧洲 / 1 : 漳州立达信光电子科技有限公司 / 1 : 叶和木,2 : 郑熠晟,3 : 林起锵,4 : 刘宗源,5 : 李炎坤,6 : 吴永强,7 : 张桂棠 / 有效</w:t>
        <w:cr/>
        <w:t>8、发明专利 / Linear luminance adjusting circuit / US11317494B2 / 美国 / 1 : 厦门立达信数字教育科技有限公司 / 1 : 林起锵,2 : 叶和木,3 : 刘伟 / 有效</w:t>
        <w:cr/>
        <w:t>9、实用新型 / 筒灯定位结构及筒灯 / ZL202120535783.9 / 中国 / 1 : 漳州立达信光电子科技有限公司 / 1 : 曹亮亮,2 : 李荣滨,3 : 吴成宗,4 : 杨育夫,5 : 杨艺敏 / 有效</w:t>
        <w:cr/>
        <w:t>10、发明专利 / 一种面向人因照明的发光单元及其组成的灯具 / ZL202210071180.7 / 中国 / 1 : 漳州立达信光电子科技有限公司 / 1 : 吴挺竹,2 : 黄伟志,3 : 刘宗源,4 : 曾昌景,5 : 陈浩,6 : 朱方圆,7 : 梁德娟,8 : 曹亮亮 / 有效</w:t>
        <w:cr/>
        <w:t/>
      </w:r>
    </w:p>
    <w:p w:rsidR="00B902C8" w:rsidRDefault="00A952D0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代表性论文专著目录：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1、IEEE Photonics Journal / High External Quantum Efficiency Green Light Emitting Diodes on Stress-Manipulated AlNO Buffer / 2.290 / VOL.14,N O. 4,AUGUST 2022 / 2022-01-06 / SCI收录 / 5 / 通讯作者：1/Kaixuan Chen*,2/Junyong Kang*;第一作者：3/Aimin Wang;作者：4/JinChai Li;</w:t>
        <w:cr/>
        <w:t/>
      </w:r>
    </w:p>
    <w:p w:rsidR="00B902C8" w:rsidRDefault="00A952D0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其他支撑材料目录：</w:t>
      </w:r>
      <w:r>
        <w:br/>
      </w:r>
      <w:r w:rsidR="003C02FA" w:rsidRPr="003C02FA">
        <w:rPr>
          <w:rFonts w:ascii="仿宋_GB2312" w:eastAsia="仿宋_GB2312" w:hAnsi="仿宋_GB2312" w:cs="仿宋_GB2312" w:hint="eastAsia"/>
          <w:i/>
          <w:color w:val="000000"/>
          <w:sz w:val="28"/>
          <w:szCs w:val="28"/>
        </w:rPr>
        <w:t>1、计划任务书或合同书、任务委托书等 / 附件1：项目合作协议 / 厦门乾照光电股份有限公司、漳州立达信光电子科技有限公司、厦门大学、厦门立达信数字教育科技有限公司</w:t>
        <w:cr/>
        <w:t>2、计划任务书或合同书、任务委托书等 / 附件2：技术咨询合同-乾照光电&amp;厦大2020年 / 厦门乾照光电股份有限公司、厦门大学</w:t>
        <w:cr/>
        <w:t>3、计划任务书或合同书、任务委托书等 / 附件3：技术咨询合同-乾照光 电&amp;厦大2022年 / 厦门乾照光电股份有限公司、厦门大学</w:t>
        <w:cr/>
        <w:t>4、其他相关资料 / 附件4：发明专利申请受理书&amp;实用新型专利授权证书 / 厦门乾照光电股份有限公司、厦门大学</w:t>
        <w:cr/>
        <w:t>5、其他相关资料 / 附件5：2022年发明创业奖成果奖一等奖证书 / 厦门乾照光电股份有限公司、厦门大学</w:t>
        <w:cr/>
        <w:t>6、计划任务书或合同书、任务委托书等 / 附件6：福建省科技重大专项验收表（专题编号：2019HZ020013） / 漳州立达信光电子科技有限公司、厦门大学</w:t>
        <w:cr/>
        <w:t>7、计划任务书或合同书、任务委托书等 / 附件7：2022年厦门市重大科技计划项目合同书（项目编号 ：3502Z20231018） / 厦门乾照光电股份有限公司、厦门大学、厦门立达信数字教育科技有限公司</w:t>
        <w:cr/>
        <w:t>8、其他相关资料 / 附件8：项目授权专利清单 / 厦门乾照光电股份有限公司、 漳州立达信光电子科技有限公司、厦门立达信数字教育科技有限公司</w:t>
        <w:cr/>
        <w:t>9、其他相关资料 / 附件9：市场监管局出具的核准变更通知书（厦门立达信数字教育） / 厦门立达信数字教育科技有限公司</w:t>
        <w:cr/>
        <w:t>10、其他相关资料 / 附件10：厦门赢科光电有限公司不参与申报2024年度福建省科技奖的说明 / 厦门赢科光电有限公司</w:t>
        <w:cr/>
        <w:t/>
      </w:r>
    </w:p>
    <w:p w:rsidR="00B902C8" w:rsidRDefault="00B902C8">
      <w:pPr>
        <w:pStyle w:val="a0"/>
        <w:spacing w:line="460" w:lineRule="exact"/>
      </w:pPr>
    </w:p>
    <w:sectPr w:rsidR="00B902C8"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等线">
    <w:altName w:val="宋体"/>
    <w:charset w:val="00"/>
    <w:family w:val="auto"/>
    <w:pitch w:val="default"/>
    <w:sig w:usb0="A00002BF" w:usb1="38CF7CFA" w:usb2="00000016" w:usb3="00000000" w:csb0="0004000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68A"/>
    <w:rsid w:val="AFFF1036"/>
    <w:rsid w:val="B0FF0AF3"/>
    <w:rsid w:val="BAEB1801"/>
    <w:rsid w:val="BC3901AA"/>
    <w:rsid w:val="BEFF410A"/>
    <w:rsid w:val="BFBFAD73"/>
    <w:rsid w:val="BFE6E07C"/>
    <w:rsid w:val="BFF713D3"/>
    <w:rsid w:val="D0BC8F88"/>
    <w:rsid w:val="D37F5E11"/>
    <w:rsid w:val="DB5FBB05"/>
    <w:rsid w:val="DBBD2366"/>
    <w:rsid w:val="DEEB7153"/>
    <w:rsid w:val="DFE651AC"/>
    <w:rsid w:val="DFFE580B"/>
    <w:rsid w:val="EA7675D9"/>
    <w:rsid w:val="EBF203DC"/>
    <w:rsid w:val="F69E2856"/>
    <w:rsid w:val="F77A5A86"/>
    <w:rsid w:val="F77E019F"/>
    <w:rsid w:val="F78F1353"/>
    <w:rsid w:val="F7DFA45D"/>
    <w:rsid w:val="F7F3A5C8"/>
    <w:rsid w:val="F7F94813"/>
    <w:rsid w:val="F7FDA781"/>
    <w:rsid w:val="F9BB75D0"/>
    <w:rsid w:val="F9D72B76"/>
    <w:rsid w:val="F9DFCBB1"/>
    <w:rsid w:val="FADF2405"/>
    <w:rsid w:val="FBFBF095"/>
    <w:rsid w:val="FDBE145C"/>
    <w:rsid w:val="FE5B22E9"/>
    <w:rsid w:val="FEDF27EC"/>
    <w:rsid w:val="FEE34138"/>
    <w:rsid w:val="FEFA3668"/>
    <w:rsid w:val="FEFDFF83"/>
    <w:rsid w:val="FF2D6546"/>
    <w:rsid w:val="FF5E1330"/>
    <w:rsid w:val="FFBED067"/>
    <w:rsid w:val="FFCFEE87"/>
    <w:rsid w:val="FFDBC0ED"/>
    <w:rsid w:val="FFE23263"/>
    <w:rsid w:val="000C7684"/>
    <w:rsid w:val="00145239"/>
    <w:rsid w:val="002B3E42"/>
    <w:rsid w:val="003C02FA"/>
    <w:rsid w:val="004327AC"/>
    <w:rsid w:val="005A48E0"/>
    <w:rsid w:val="00605C7A"/>
    <w:rsid w:val="006F0B81"/>
    <w:rsid w:val="00826C08"/>
    <w:rsid w:val="00953E62"/>
    <w:rsid w:val="00A6617F"/>
    <w:rsid w:val="00A952D0"/>
    <w:rsid w:val="00B81E56"/>
    <w:rsid w:val="00B902C8"/>
    <w:rsid w:val="00C5788F"/>
    <w:rsid w:val="00CB29D8"/>
    <w:rsid w:val="00CC3516"/>
    <w:rsid w:val="00DB30F0"/>
    <w:rsid w:val="00E8268A"/>
    <w:rsid w:val="00E82D8E"/>
    <w:rsid w:val="00EC4B76"/>
    <w:rsid w:val="00F16FF3"/>
    <w:rsid w:val="00FB6CEF"/>
    <w:rsid w:val="01353326"/>
    <w:rsid w:val="087301A8"/>
    <w:rsid w:val="0CE25FEA"/>
    <w:rsid w:val="0DFFC512"/>
    <w:rsid w:val="0E690251"/>
    <w:rsid w:val="0FA5C748"/>
    <w:rsid w:val="105C6E7E"/>
    <w:rsid w:val="122D39E8"/>
    <w:rsid w:val="12546A46"/>
    <w:rsid w:val="178A1437"/>
    <w:rsid w:val="18E7726B"/>
    <w:rsid w:val="19B4EFEA"/>
    <w:rsid w:val="1D4420C4"/>
    <w:rsid w:val="1D684C2C"/>
    <w:rsid w:val="1FDF3D04"/>
    <w:rsid w:val="227B094B"/>
    <w:rsid w:val="22EC5952"/>
    <w:rsid w:val="23BF75D4"/>
    <w:rsid w:val="26C61434"/>
    <w:rsid w:val="27FFDB3C"/>
    <w:rsid w:val="28587F45"/>
    <w:rsid w:val="28F00BDD"/>
    <w:rsid w:val="2ECFD048"/>
    <w:rsid w:val="2FD7C272"/>
    <w:rsid w:val="2FF1B6AA"/>
    <w:rsid w:val="366A57CF"/>
    <w:rsid w:val="367A4492"/>
    <w:rsid w:val="373B1EE8"/>
    <w:rsid w:val="377E6FC7"/>
    <w:rsid w:val="3CFD7FF6"/>
    <w:rsid w:val="3D4F5C8D"/>
    <w:rsid w:val="3DD53D74"/>
    <w:rsid w:val="3E77C343"/>
    <w:rsid w:val="3EA82B1F"/>
    <w:rsid w:val="3F3275D4"/>
    <w:rsid w:val="3FFFAA8E"/>
    <w:rsid w:val="40270EE3"/>
    <w:rsid w:val="423B5529"/>
    <w:rsid w:val="457D5BD4"/>
    <w:rsid w:val="47762A53"/>
    <w:rsid w:val="47DB1F37"/>
    <w:rsid w:val="47F6139A"/>
    <w:rsid w:val="4D875F5D"/>
    <w:rsid w:val="4E386EB3"/>
    <w:rsid w:val="4E98EDDB"/>
    <w:rsid w:val="4FE72A34"/>
    <w:rsid w:val="4FFF1ECF"/>
    <w:rsid w:val="515845F1"/>
    <w:rsid w:val="51F7FF9C"/>
    <w:rsid w:val="55EF58DF"/>
    <w:rsid w:val="59177E55"/>
    <w:rsid w:val="5BAF69BF"/>
    <w:rsid w:val="5BAFD007"/>
    <w:rsid w:val="5BEFDE6F"/>
    <w:rsid w:val="5BFF24C2"/>
    <w:rsid w:val="5CA27395"/>
    <w:rsid w:val="5E7B2339"/>
    <w:rsid w:val="5F73DBE5"/>
    <w:rsid w:val="5FBD6EA0"/>
    <w:rsid w:val="5FDE12D6"/>
    <w:rsid w:val="5FF98BF0"/>
    <w:rsid w:val="61806DD8"/>
    <w:rsid w:val="631A287D"/>
    <w:rsid w:val="644A5221"/>
    <w:rsid w:val="64D05500"/>
    <w:rsid w:val="65252288"/>
    <w:rsid w:val="65E1BED2"/>
    <w:rsid w:val="66F7B869"/>
    <w:rsid w:val="67296F93"/>
    <w:rsid w:val="6AD001EB"/>
    <w:rsid w:val="6B9950D1"/>
    <w:rsid w:val="6BB5A5BE"/>
    <w:rsid w:val="6D4E4B1C"/>
    <w:rsid w:val="6DF53A25"/>
    <w:rsid w:val="6EFFAE43"/>
    <w:rsid w:val="6F7A1356"/>
    <w:rsid w:val="6F7EF841"/>
    <w:rsid w:val="71F751BD"/>
    <w:rsid w:val="74150344"/>
    <w:rsid w:val="7427FEDB"/>
    <w:rsid w:val="74750C93"/>
    <w:rsid w:val="74FB0DBB"/>
    <w:rsid w:val="75675828"/>
    <w:rsid w:val="779BAA7C"/>
    <w:rsid w:val="77EF9B71"/>
    <w:rsid w:val="7BEF1324"/>
    <w:rsid w:val="7C3D2CEC"/>
    <w:rsid w:val="7CBA2EE7"/>
    <w:rsid w:val="7CF941E4"/>
    <w:rsid w:val="7DDEA2B6"/>
    <w:rsid w:val="7DF3E72B"/>
    <w:rsid w:val="7E1CFA4F"/>
    <w:rsid w:val="7E7F11BF"/>
    <w:rsid w:val="7EDF443C"/>
    <w:rsid w:val="7F0D62D8"/>
    <w:rsid w:val="7F5D27BF"/>
    <w:rsid w:val="7F7D063F"/>
    <w:rsid w:val="7F7FBD4E"/>
    <w:rsid w:val="7FDFC824"/>
    <w:rsid w:val="7FE57C5B"/>
    <w:rsid w:val="7FE814C2"/>
    <w:rsid w:val="7FEC1B68"/>
    <w:rsid w:val="7FED7E86"/>
    <w:rsid w:val="7FEF5533"/>
    <w:rsid w:val="7FFF132D"/>
    <w:rsid w:val="7FFF2936"/>
    <w:rsid w:val="8EAB1E50"/>
    <w:rsid w:val="9FF261E3"/>
    <w:rsid w:val="A37B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29082-0E53-4A3B-BD5C-AA776366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line="240" w:lineRule="atLeast"/>
      <w:jc w:val="center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basedOn w:val="a"/>
    <w:next w:val="a"/>
    <w:uiPriority w:val="9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qFormat/>
    <w:pPr>
      <w:widowControl/>
    </w:pPr>
    <w:rPr>
      <w:kern w:val="0"/>
    </w:rPr>
  </w:style>
  <w:style w:type="paragraph" w:styleId="a4">
    <w:name w:val="Body Text Indent"/>
    <w:basedOn w:val="a"/>
    <w:pPr>
      <w:spacing w:after="120"/>
      <w:ind w:leftChars="200" w:left="420"/>
    </w:pPr>
  </w:style>
  <w:style w:type="paragraph" w:styleId="a5">
    <w:name w:val="Plain Text"/>
    <w:basedOn w:val="a"/>
    <w:rPr>
      <w:rFonts w:ascii="宋体" w:hAnsi="Courier New"/>
      <w:szCs w:val="21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20">
    <w:name w:val="Body Text First Indent 2"/>
    <w:basedOn w:val="a4"/>
    <w:pPr>
      <w:ind w:firstLineChars="200" w:firstLine="420"/>
    </w:pPr>
  </w:style>
  <w:style w:type="table" w:styleId="a9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</w:style>
  <w:style w:type="character" w:customStyle="1" w:styleId="NormalCharacter">
    <w:name w:val="NormalCharacter"/>
    <w:semiHidden/>
    <w:qFormat/>
  </w:style>
  <w:style w:type="character" w:customStyle="1" w:styleId="maintitle">
    <w:name w:val="maintitle"/>
    <w:qFormat/>
  </w:style>
  <w:style w:type="character" w:customStyle="1" w:styleId="fontstyle01">
    <w:name w:val="fontstyle01"/>
    <w:qFormat/>
    <w:rPr>
      <w:rFonts w:ascii="仿宋" w:hAnsi="仿宋" w:hint="default"/>
      <w:color w:val="000000"/>
      <w:sz w:val="24"/>
      <w:szCs w:val="24"/>
    </w:rPr>
  </w:style>
  <w:style w:type="character" w:customStyle="1" w:styleId="21">
    <w:name w:val="樣式 內文2 + 標楷體 字元 字元"/>
    <w:qFormat/>
    <w:rPr>
      <w:rFonts w:ascii="DFKai-SB" w:eastAsia="DFKai-SB" w:hAnsi="DFKai-SB"/>
      <w:kern w:val="2"/>
      <w:sz w:val="28"/>
      <w:lang w:val="en-US" w:eastAsia="zh-TW" w:bidi="ar-SA"/>
    </w:rPr>
  </w:style>
  <w:style w:type="character" w:customStyle="1" w:styleId="editedhigh-light-bgordinary-span-edit">
    <w:name w:val="edited high-light-bg ordinary-span-edit"/>
    <w:qFormat/>
  </w:style>
  <w:style w:type="paragraph" w:customStyle="1" w:styleId="New">
    <w:name w:val="正文 New"/>
    <w:qFormat/>
    <w:pPr>
      <w:widowControl w:val="0"/>
      <w:spacing w:line="400" w:lineRule="exact"/>
      <w:ind w:left="11" w:right="11" w:firstLineChars="200" w:firstLine="200"/>
      <w:jc w:val="both"/>
    </w:pPr>
    <w:rPr>
      <w:rFonts w:ascii="Times New Roman" w:hAnsi="Times New Roman"/>
      <w:kern w:val="2"/>
      <w:sz w:val="21"/>
      <w:szCs w:val="24"/>
    </w:rPr>
  </w:style>
  <w:style w:type="paragraph" w:styleId="ac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等线" w:eastAsia="等线" w:hAnsi="等线"/>
      <w:sz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605C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605C7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</Words>
  <Characters>231</Characters>
  <Application>Microsoft Office Word</Application>
  <DocSecurity>0</DocSecurity>
  <Lines>1</Lines>
  <Paragraphs>1</Paragraphs>
  <ScaleCrop>false</ScaleCrop>
  <Company>fjedu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2025-04-09T07:23:00Z</dcterms:created>
  <dc:creator>子不语</dc:creator>
  <cp:lastModifiedBy>佘育生</cp:lastModifiedBy>
  <cp:lastPrinted>2022-12-06T10:54:00Z</cp:lastPrinted>
  <dcterms:modified xsi:type="dcterms:W3CDTF">2025-04-09T09:17:00Z</dcterms:modified>
  <cp:revision>6</cp:revision>
  <dc:title>一、项目名称：多重环境压力下海洋酸化的生理生态影响及其食物链效应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18970B87171442C9AE9E1D245ABB4D1C</vt:lpwstr>
  </property>
</Properties>
</file>