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面向工业互联网的2D和3D数字孪生可视化引擎技术与产业应用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随着全球制造业发展，实现智能制造、提高生产效率成为企业的迫切需求，其中数字李生技术的发展为这一进程提供了强大的工具。根据预测，数字李生技术将为全球制造业创造 1.3 万亿美元价值。数字李生的窗口是 2D 和 3D的可视化表达，它能够将复杂的数据和信息转化为直观的图形展示，帮助决策者更准确地了解生产状况、优化流程，并及时作出调整。过去几十年间，市场上关于这一领域图形引擎产品主要以国外商用或开源技术为主，因此国产化软件的关键技术亟待创新。</w:t>
        <w:cr/>
        <w:t xml:space="preserve"> 2013年以来，该项目通过2D和3D图形引擎底层完个行业领域帮助eb 数字李生可视化产实现现代化发，从SDK组件库，到2D和3D编辑器，到行业矢量图标和三维型资源库，构成一站式的数字李生可视化解决方案、形成一套实践证明高效开发流程和生态体系，可快速实现现代化、高性能、跨平台的工业互联网数字李生项目应用。</w:t>
        <w:cr/>
        <w:t>创新点概述:</w:t>
        <w:cr/>
        <w:t>1.核心引擎和渲染效能:产品的核心引擎采用局部刷新、批量聚合、图像缓存、极少化 DOM 元素等，图形优化(内存/CPU/GPU)等优化算法，突破诸多传统行业应用极限，组件可以承载万级以上级别的 2D、3D 和 UI图元，满足复杂的物联网设备和大数据场景需求。引擎采用事件机制进行局部更新，避免不必要的界面刷新，提高性能和稳定性。</w:t>
        <w:cr/>
        <w:t>2.2D和 3D 的融合与互操作性:产品实现2D和3D的无缝融合与互操作性，通过支持数据绑定、自定义交互逻辑等特性，使2D和 3D在三维空间中可无缝融合，资源可复用。设计师和程序员可统一的工具协同开发，消除传统分割独立、设计和实现不一致问题，极大提高开发效率。</w:t>
        <w:cr/>
        <w:t>3.完备的工具链:产品提供完备的可视化编辑器工具链，含视图组件设计、矢量图标设计、2D 图纸设计与3D 场景设计。这些工具能够直接共享和复用资源，实现不同阶段和环节的高效衔接，解决传统设计和开发难以协同的问题，促进产品快速迭代。</w:t>
        <w:cr/>
        <w:t>4.跨平台兼容性:产品基于主流 Web 技术路线，强调跨平台的图形展示效果和交互体验，支持多种操作系统和浏览器，及不同分辨率的适配。从桌面鼠标操作到移动触摸，再到虚拟现实，产品都能提供一致性的用户体验，满足不同用户场景的需求。</w:t>
        <w:cr/>
        <w:t>5.商业模式和价格优势:产品采用开放灵活的商业模式，允许客户进行二次开发和扩展，也可以提供一站式解决方案。相较互联网巨头公司和大数据可视化厂商，产品价格优势明显，降低企业和部门在可视化应用上的投入门槛。</w:t>
        <w:cr/>
        <w:t>6.综合解决方案:产品是一套跨行业的综合性解决方案，可面向包括工控、电信、电力、政府、交通水利、公安、国防、医疗、金融、科研在内的各个行业领域，帮助客户在不同行业快速实现现代化5、高性能、跨平台的图形展示效果和交互体验，从而提升业务竞争力。目前该项目取得软件著作权41 项，发明专利1项，广泛应用于 50 个以上行业领域，成功完成1000 多</w:t>
        <w:cr/>
        <w:t>个项目案例，帮助国内外超过 600 家工业企业实现数字化转型，助力加速国内工业互联网云平台战略落地。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1.厦门图扑软件科技有限公司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1、林意炜：</w:t>
        <w:cr/>
        <w:t xml:space="preserve">对本项目主要技术贡献:</w:t>
        <w:cr/>
        <w:t>搭建了软件的 2D 和 3D 的基础架构，创造独有的矢量数据格式，基于 Canvas 技术搭建高性能2D 矢量渲染引擎，基于 WebGL 技术搭建高性能的 3D 渲染引擎，并将 2D 矢量渲染技术融入到 3D 引擎中，实现了 2D 设计资源在 3D 环境中的复用。创造了数据驱动模型 DataModel 技术，实现多视图组件可以共享同一个数据模型，为数据的展示提供多样的选择。</w:t>
        <w:cr/>
        <w:t>2、陈麒先：</w:t>
        <w:cr/>
        <w:t>基于 WebGL2 新技术，升级软件 3D 渲染能力，优化软件的性能和兼容性。技术上，提供批量方案，将多个模型聚合在一起，做一次渲染，提升软件的渲染能力;基于 WebGL特性，提供同质批量方案，将相同材质的模型批在一起，做一次渲染，并允许各个模型可以有各自不同的位置、旋转和缩放，大大提升了软件 3D 渲染的灵活性。</w:t>
        <w:cr/>
        <w:t>3、吴笃敏：</w:t>
        <w:cr/>
        <w:t xml:space="preserve"></w:t>
        <w:cr/>
        <w:t>为软件引入材质功能，提供 phong、pbr 等基础材质渲染能力，为多样化的材质库的积累，提供支持。引入 fbx、gltf 等多样的 3D 模型格式的解析能力，支持骨骼动画的解析，并提供模型动画的完整解决方案。提供环境光方案，支持 tga、hdr 等资源的解析，为场景增加更真实的视觉体验。提供辉光解决方案，为场景增加曝光效果，增加场景科技风格的表现力。</w:t>
        <w:cr/>
        <w:t>4、李彦凯：</w:t>
        <w:cr/>
        <w:t xml:space="preserve">开发了一套可服用的 Widget 组件，如 TreeView、TableView、Dialog 之类的，基于数据驱动模</w:t>
        <w:cr/>
        <w:t xml:space="preserve">型 DataModel 技 术 ， 实 现 了 多 种 不 同 的 Widget 视 图 。 同 时 基 于 Canvas 技 术 ，</w:t>
        <w:cr/>
        <w:t xml:space="preserve">对 TreeView 和 TableView 之类的数据展示组件做了渲染层面的优化，使其能够承载数十万甚至百万级</w:t>
        <w:cr/>
        <w:t>别的数据展示。</w:t>
        <w:cr/>
        <w:t>5、王银隆：</w:t>
        <w:cr/>
        <w:t>对本项目主要技术贡献:为 2D基础图形组件增加灵活的编辑交互功能，增加图形的交并补功能，提升 2D设计效率，增强 2D 设计的多样性。提供 3D 元素在场景中的交互方案，定义移动、旋转、缩放操作轴交互，提升 3D 交互的易用性。增加 3D 管道的编辑功能，令 3D 管道的创建和编辑更直观，大大提升设计效率。</w:t>
        <w:cr/>
        <w:t>6、李远林：</w:t>
        <w:cr/>
        <w:t>对本项目主要技术贡献:为 2D 基础图形组件增加灵活的编辑交互功能，增加图形的交并补功能，提升 2D 设计效率，增强 2D 设计的多样性。提供 3D 元素在场景中的交互方案，定义移动、旋转、缩放操作轴交互，提升 3D 交互的易用性。增加 3D 管道的编辑功能，令 3D 管道的创建和编辑更直观，大大提升设计效率。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1、发明专利 / 绘制散点的方法及装置 / ZL201910916977.0 / 中国 / 1 : 厦门图扑软件科技有限公司,2 : 上海华兴数字科技有限公司 / 1 : 陈麒先,2 : 李远林,3 : 邬昌明,4 : 周达民 / 有效</w:t>
        <w:cr/>
        <w:t>2、发明专利 / 视频监控方法、装置、电子设备及存储介质 / ZL202210475696.8 / 中国 / 1 : 厦门图扑软件科技有限公司 / 1 : 于保成,2 : 董升亮 / 有效</w:t>
        <w:cr/>
        <w:t>3、发明专利 / 信息同步方法、装置、电子设备及存储介质 / ZL202210475696.8 / 中国 / 1 : 厦门图扑软件科技有限公司 / 1 : 于保成,2 : 董升亮 / 有效</w:t>
        <w:cr/>
        <w:t>4、软件著作权 / HT for Web图 形界面开发工 具包软件V1.0 / 2013SR114726 / 中国 / 1 : 厦门图扑软件科技有限公司 / null / 有效</w:t>
        <w:cr/>
        <w:t>5、软件著作权 / HT for Web 2D编辑器软件V1.0 / 2018SR8104 / 中国 / 1 : 厦门图扑软件科技有限公司 / null / 有效</w:t>
        <w:cr/>
        <w:t>6、软件著作权 / HT for Web 3D编辑器软件V1.0 / 2018SR918443 / 中国 / 1 : 厦门图扑软件科技有限公司 / null / 有效</w:t>
        <w:cr/>
        <w:t>7、软件著作权 / HT for Web UI 通用组件 开发工具包软 件 V1.0 / 2019SR0379396 / 中国 / 1 : 厦门图扑软件科技有限公司 / null / 有效</w:t>
        <w:cr/>
        <w:t>8、软件著作权 / HT for Web GIS 地理信息 开发工具包软 件 V1.0 / 2020SR1505283 / 中国 / 1 : 厦门图扑软件科技有限公司 / null / 有效</w:t>
        <w:cr/>
        <w:t>9、软件著作权 / HT for Web BIM 建筑信息 模型开发平台 V1.0 / 2020SR1505183 / 中国 / 1 : 厦门图扑软件科技有限公司 / null / 有效</w:t>
        <w:cr/>
        <w:t>10、软件著作权 / HT VR 虚拟现 实开发工具包软件V1.0 / 2021SR0924928 / 中国 / 1 : 厦门图扑软件科技有限公司 / null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1、其他相关资料 / 创客中国50强名单 / 工业和信息化部</w:t>
        <w:cr/>
        <w:t>2、其他相关资料 / 国家级专精特新“小巨人” / 工业和信息化部</w:t>
        <w:cr/>
        <w:t>3、其他相关资料 / 中国技术市场协会金桥奖三等奖 / 中国技术市场协会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