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2C8" w:rsidRDefault="00B902C8">
      <w:pPr>
        <w:autoSpaceDE w:val="0"/>
        <w:autoSpaceDN w:val="0"/>
        <w:adjustRightInd w:val="0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附件3</w:t>
      </w:r>
    </w:p>
    <w:p w:rsidR="00B902C8" w:rsidRDefault="000C7684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/>
          <w:bCs/>
          <w:kern w:val="0"/>
          <w:sz w:val="44"/>
          <w:szCs w:val="44"/>
        </w:rPr>
        <w:t>2024</w:t>
      </w:r>
      <w:r w:rsidR="00B902C8"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年度福建省科学技术奖</w:t>
      </w:r>
    </w:p>
    <w:p w:rsidR="00B902C8" w:rsidRDefault="00B902C8">
      <w:pPr>
        <w:autoSpaceDE w:val="0"/>
        <w:autoSpaceDN w:val="0"/>
        <w:adjustRightInd w:val="0"/>
        <w:spacing w:line="760" w:lineRule="exact"/>
        <w:jc w:val="center"/>
        <w:rPr>
          <w:rFonts w:ascii="方正小标宋_GBK" w:eastAsia="方正小标宋_GBK" w:hAnsi="方正小标宋_GBK" w:cs="方正小标宋_GBK"/>
          <w:b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kern w:val="0"/>
          <w:sz w:val="44"/>
          <w:szCs w:val="44"/>
        </w:rPr>
        <w:t>提名项目（人选）公示内容</w:t>
      </w:r>
    </w:p>
    <w:p w:rsidR="00B902C8" w:rsidRDefault="00B902C8">
      <w:pPr>
        <w:autoSpaceDE w:val="0"/>
        <w:autoSpaceDN w:val="0"/>
        <w:adjustRightInd w:val="0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</w:p>
    <w:p w:rsidR="00B902C8" w:rsidRDefault="00B902C8">
      <w:pPr>
        <w:autoSpaceDE w:val="0"/>
        <w:autoSpaceDN w:val="0"/>
        <w:adjustRightInd w:val="0"/>
        <w:spacing w:line="560" w:lineRule="exact"/>
        <w:rPr>
          <w:sz w:val="28"/>
          <w:szCs w:val="28"/>
          <w:lang w:val="en-GB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项目名称：</w:t>
      </w:r>
      <w:r w:rsidR="000C7684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车规级大功率LED关键技术及产业化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提名奖种：</w:t>
      </w:r>
      <w:r w:rsidR="000C7684" w:rsidRPr="006F0B81">
        <w:rPr>
          <w:rFonts w:ascii="仿宋_GB2312" w:eastAsia="仿宋_GB2312" w:hAnsi="仿宋_GB2312" w:cs="仿宋_GB2312"/>
          <w:kern w:val="0"/>
          <w:sz w:val="28"/>
          <w:szCs w:val="28"/>
        </w:rPr>
        <w:t>科学技术进步奖</w:t>
      </w:r>
    </w:p>
    <w:p w:rsidR="00B902C8" w:rsidRDefault="00B902C8" w:rsidP="00605C7A">
      <w:pPr>
        <w:pStyle w:val="HTML"/>
        <w:shd w:val="clear" w:color="auto" w:fill="FFFFFF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提名单位：</w:t>
      </w:r>
      <w:r w:rsidR="000C7684" w:rsidRPr="006F0B81">
        <w:rPr>
          <w:rFonts w:ascii="仿宋_GB2312" w:eastAsia="仿宋_GB2312" w:hAnsi="仿宋_GB2312" w:cs="仿宋_GB2312" w:hint="eastAsia"/>
          <w:sz w:val="28"/>
          <w:szCs w:val="28"/>
        </w:rPr>
        <w:t>厦门市科学技术局</w:t>
      </w:r>
    </w:p>
    <w:p w:rsidR="00B902C8" w:rsidRDefault="00B902C8">
      <w:pPr>
        <w:autoSpaceDE w:val="0"/>
        <w:autoSpaceDN w:val="0"/>
        <w:adjustRightInd w:val="0"/>
        <w:spacing w:line="560" w:lineRule="exact"/>
        <w:rPr>
          <w:rFonts w:ascii="仿宋_GB2312" w:eastAsia="仿宋_GB2312" w:hAnsi="仿宋_GB2312" w:cs="仿宋_GB2312"/>
          <w:b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项目简介：</w:t>
      </w:r>
      <w:r>
        <w:br/>
      </w:r>
      <w:r w:rsidR="00CC3516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　　LED前照灯在新能源汽车中的渗透率约达到95%，但我国车规级前照灯用大功率白光LED芯片的市场份额长期由国际大厂如欧司朗、日亚、Lumileds、首尔半导体、三星等占据，在国内新能源汽车行业快速发展的大背景下，亟待实现国产化替代。面向车灯应用的大功率白光LED器件需要高亮度、低能耗、高品质一致性和可靠性、强轴向取光效率等需求，车规级大功率白光LED材料与器件仍面临着巨大的技术挑战。本项目围绕光效提升、可靠性能提升、封装关键技术三个主要方面实现技术创新，主要包含：</w:t>
        <w:cr/>
        <w:t/>
        <w:cr/>
        <w:t xml:space="preserve">　　1、大功率LED器件光效提升：针对大电流注入条件下LED器件光效提升难题，创新发展了人工智能辅助芯片、外延结构设计方法，大幅缩短设计和反馈周期；开发出基于蓝宝石/AlN/SiO2复合图形化衬底的高质量外延生长技术，实现高内量子效率的提升；开发出高低折介电材料堆叠DBR/金属复合全方位高反射技术，提高光的外量子抽取效率，研制出具有超高光效的车规级大功率LED器件。</w:t>
        <w:cr/>
        <w:t/>
        <w:cr/>
        <w:t xml:space="preserve">　　2、大功率LED器件可靠性能提升：提出新型单电容器件结构，大幅降低器件内强电场区面积，提高可靠性能的同时降低器件热阻，开发低缺陷及强包覆复合绝缘技术、侧壁钝化保护技术，增强器件的水氧阻隔能力，研制出低热阻、高可靠性的车规级大功率LED器件。</w:t>
        <w:cr/>
        <w:t/>
        <w:cr/>
        <w:t xml:space="preserve">　　3、大功率LED器件封装关键技术：开发新型P/N Bonding共平面电极器件结构，匹配平面线性接触力学封装方案，降低封装不良率的同时大幅降低共晶空洞率，增强散热，弱化Droop效应；提出增强轴向取光效率及防光串扰的新型封装技术，研制出强散热和强轴向光效率的车规级大功率LED器件。</w:t>
        <w:cr/>
        <w:t/>
        <w:cr/>
        <w:t xml:space="preserve">　　已开发并规模化量产一系列面向车规级应用的高效率、高可靠性大功率LED器件，并应用在多家国内外封装及终端车企。其中40mil40mil的大功率蓝光LED产品，在1000mA注入电流条件下，辐射功率超过1700mW，电光转换效率达到53%；封装后的白光灯珠在1000mA注入电流条件下，光通量超过419lm，性能指标优于公开的国内外同类产品，达到国际先进水平，每平方毫米亮度分别比三星和日亚的产品高5%和31%。</w:t>
        <w:cr/>
        <w:t/>
        <w:cr/>
        <w:t xml:space="preserve">　　以本项目的技术创新为基础，项目团队着力推动车规级大功率LED器件的产品应用。截止目前已获得国家授权发明专利10项，发表SCI论文2篇，被诺奖得主Nakamura团队综述评价为利用最先进的机器学习对InGaN LED进行外延设计的新型技术，为高效InGaN LED的发展打开了一扇新的窗口，并加速了未来的发展。技术推广产品在大功率下的可靠性已通过严苛的车规级AEC-Q102认证，并批量供应比亚迪、法雷奥、海拉、马瑞利、安瑞光电、瑞丰光电、晶科电子、穗晶电子、鸿利等多家国内外封装及应用企业，并应用在比亚迪、问界、广汽、吉利、奇瑞等终端车企的多款车型上。项目推广近3年为厦门市新增产值16.8亿元，利润1.72亿，上缴税收4392.99万元。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kern w:val="0"/>
          <w:sz w:val="28"/>
          <w:szCs w:val="28"/>
        </w:rPr>
        <w:t>主要完成单位：</w:t>
      </w:r>
      <w:r>
        <w:br/>
      </w:r>
      <w:r w:rsidR="002B3E42" w:rsidRPr="006F0B81">
        <w:rPr>
          <w:rFonts w:ascii="仿宋_GB2312" w:eastAsia="仿宋_GB2312" w:hAnsi="仿宋_GB2312" w:cs="仿宋_GB2312" w:hint="eastAsia"/>
          <w:kern w:val="0"/>
          <w:sz w:val="28"/>
          <w:szCs w:val="28"/>
        </w:rPr>
        <w:t>1.厦门三安光电有限公司;</w:t>
        <w:cr/>
        <w:t>2.厦门大学;</w:t>
        <w:cr/>
        <w:t>3.泉州三安半导体科技有限公司</w:t>
      </w:r>
      <w:r>
        <w:br/>
      </w:r>
    </w:p>
    <w:p w:rsidR="00B902C8" w:rsidRDefault="00B902C8">
      <w:pPr>
        <w:autoSpaceDE w:val="0"/>
        <w:autoSpaceDN w:val="0"/>
        <w:adjustRightInd w:val="0"/>
        <w:spacing w:line="560" w:lineRule="exact"/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28"/>
          <w:szCs w:val="28"/>
        </w:rPr>
        <w:t xml:space="preserve">主要完成人及其贡献： </w:t>
      </w:r>
      <w:r>
        <w:br/>
      </w:r>
      <w:r w:rsidR="002B3E42" w:rsidRPr="006F0B81"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  <w:t>1、朱秀山：</w:t>
        <w:cr/>
        <w:t>项目负责人，负责项目总体规划和组织实施，开发车规级大功率 LED 关键技术，并负责项目的技术应用与推广。为科技创新点 1-3 的主要贡献者，为代表性发明专利3、4、5、6、7、9的第一发明人。开发了介质膜/金属复合全可见光波段高反射技术、适用于热压焊工艺的新型三明治器件结构、P/N 共平面电极结构，研制出高效率、高可靠性的车规级大功率 LED 器件。完成人投入本项目的工作量占本人的工作量70%</w:t>
        <w:cr/>
        <w:t>2、李金钗：</w:t>
        <w:cr/>
        <w:t xml:space="preserve">项目骨干人员，为科技创新点 1 的重要贡献者，创新发展了人工智能辅助芯片外延结构设计方法，大幅缩短设计和反馈周期，为项目提供外延结构设计和指导；提出一种分层等效介质方法，厘清表面等离子激元与界面透/反射波之间的 Fano 干涉机制，为介质膜/金属复合高反射技术奠定理论基础。是代表性论文 1 的共同第一作者和代表性论文 2 的共同通讯作者。完成人投入本项目的工作量占本人的工作量 60%。</w:t>
        <w:cr/>
        <w:t xml:space="preserve"></w:t>
        <w:cr/>
        <w:t/>
        <w:cr/>
        <w:t>3、刘建明：</w:t>
        <w:cr/>
        <w:t>项目骨干人员，为科技创新点 1 的重要贡献者，为代表性发明专利1、2的第一发明人，负责复合衬底与外延材料生长模块的开发，根据车用大功率 LED 器件的性能及可靠性要求，开发出 SiO2/蓝宝石复合图形衬底精确控制规格技术、大电流密度下发光效率提升新技术、降低 Droop 效应新技术 。完成人投入本项目的工作量占本人的工作量40%。</w:t>
        <w:cr/>
        <w:t>4、黄凯：</w:t>
        <w:cr/>
        <w:t>项目骨干人员，为科技创新点 1 的重要贡献者，创新发展了人工智能辅助芯片外延结构设计方法，大幅缩短设计和反馈周期，指导大功率 LED 外延生长技术开发；提出一种分层等效介质方法，厘清表面等离子激元与界面透/反射波之间的 Fano 干涉机制，为介质膜/金属复合高反射技术奠定理论基础。是项目代表性论文 1 和 2 的共同通讯作者。完成人投入本项目的工作量占本人的工作量40%。</w:t>
        <w:cr/>
        <w:t>5、李燕：</w:t>
        <w:cr/>
        <w:t xml:space="preserve">项目骨干人员，为科技创新点 1-3 的重要贡献者，为代表性发明专利3-7、8的发明人，负责光学模拟和器件结构设计，通过器件内部光学模拟确认最佳介质膜/金属高反射技术方案、完善器件设计、提升器件的出光效率及可靠性；结合文献、模拟和实测数据，构思具有实践可行性的全新的高亮度芯片结构和配套工艺 。完成人投入本项目的工作量占本人的工作量30%。</w:t>
        <w:cr/>
        <w:t/>
        <w:cr/>
        <w:t>6、杨旭：</w:t>
        <w:cr/>
        <w:t>项目骨干人员，为科技创新点 1 的重要贡献者，提出一种分层等效介质方法，厘清表面等离子激元与界面透/反射波之间的 Fano 干涉机制，并将其推广应用于介质膜/金属复合高反射技术开发。是项目代表性论文 2 的作者。完成人投入本项目的工作量占本人的工作量30%。</w:t>
        <w:cr/>
        <w:t>7、黄敏：</w:t>
        <w:cr/>
        <w:t>项目骨干人员，为科技创新点 2 的重要贡献者，为代表性发明专利8的第一发明人，负责本项目车规级产品可靠性的提升，以满足 AEC-Q102 的车规级要求；主导开发了高致密低缺陷强包覆原子层沉积 ALD/PECVD 复合绝缘层结构，以及该技术的配套器件制备工艺，大幅提升了器件的防水氧能力，研制出高可靠性的车规级大功率 LED 器件。完成人投入本项目的工作量占本人的工作量30%。</w:t>
        <w:cr/>
        <w:t>8、黄森鹏：</w:t>
        <w:cr/>
        <w:t>项目骨干人员，为科技创新点 3 的重要贡献者，为代表性发明专利10的第一发明人，负责本项目器件封装工艺开发与创新技术的研发，主要研究大功率 LED 器件封装效率提升及轴向光效率提升，开发出线性封装工艺及侧面白墙+蓝宝石面荧光片贴合工艺，为产品的技术提升及产业化作出贡献。完成人投入本项目的工作量占本人的工作量30%。</w:t>
        <w:cr/>
        <w:t/>
      </w:r>
      <w:r>
        <w:br/>
      </w:r>
    </w:p>
    <w:p w:rsidR="00B902C8" w:rsidRPr="006F0B81" w:rsidRDefault="00B902C8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主要知识产权目录：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1、发明专利 / LED 外延片衬底结构及其制备方法、LED 芯片及其制备方法 / ZL202110443455.0 / 中国 / 1 : 厦门三安光电有限公司 / 1 : 刘建明,2 : 沈台英,3 : 廖树涛,4 : 林振超,5 : 陈秉杨,6 : 张中英 / 有效</w:t>
        <w:cr/>
        <w:t>2、发明专利 / 一种LED外延结构 / ZL201611242381.X / 中国 / 1 : 泉州三安半导 体科技有限公司 / 1 : 刘建明,2 : 张洁,3 : 朱学亮,4 : 陈秉扬,5 : 张中英,6 : 徐宸科 / 有效</w:t>
        <w:cr/>
        <w:t>3、发明专利 / 发光二极管 / ZL202111455995.7 / 中国 / 1 : 厦门三安光电有限公司 / 1 : 朱秀山,2 : 李燕,3 : 刘兆锦 / 有效</w:t>
        <w:cr/>
        <w:t>4、发明专利 / 半导体发光二极管及其制备方法 / ZL202110611314.5 / 中国 / 1 : 厦门三安光电有限公司 / 1 : 朱秀山,2 : 李燕 / 有效</w:t>
        <w:cr/>
        <w:t>5、发明专利 / 发光二极管及发光模块 / ZL202111076849.3 / 中国 / 1 : 厦门三安光电有限公司 / 1 : 朱秀山,2 : 李燕 / 有效</w:t>
        <w:cr/>
        <w:t>6、发明专利 / 发光装置及发光元件 / ZL202211108404.3 / 中国 / 1 : 泉州三安半导体科技有限公司 / 1 : 朱秀山,2 : 陈吉,3 : 李燕,4 : 荆琪,5 : 张中英,6 : 蔡吉明,7 : 卢志龙 / 有效</w:t>
        <w:cr/>
        <w:t>7、发明专利 / 发光二极管及发光模块 / ZL202111076850.6 / 中国 / 1 : 厦门三安光电 有限公司 / 1 : 朱秀山,2 : 李燕 / 有效</w:t>
        <w:cr/>
        <w:t>8、发明专利 / 发光二极管芯片 / ZL202180003076.8 / 中国 / 1 : 厦门三安光电有限公司 / 1 : 黄敏,2 : 刘小亮,3 : 何安和 / 有效</w:t>
        <w:cr/>
        <w:t>9、发明专利 / 发光二极管及发光装置 / ZL202111138111.5 / 中国 / 1 : 厦门三安光电有限公司 / 1 : 朱秀山,2 : 李燕 / 有效</w:t>
        <w:cr/>
        <w:t>10、发明专利 / 一种发光装置及其制造方法 / ZL201710685818.5 / 中国 / 1 : 泉州三安半导体科技有限公司 / 1 : 黄森鹏,2 : 林振端,3 : 黄永特,4 : 时军鹏,5 : 陈顺意,6 : 赵志伟,7 : 徐宸科 / 有效</w:t>
        <w:cr/>
        <w:t/>
      </w:r>
    </w:p>
    <w:p w:rsidR="00B902C8" w:rsidRDefault="00A952D0" w:rsidP="006F0B81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代表性论文专著目录：</w:t>
      </w:r>
      <w:r>
        <w:br/>
      </w:r>
      <w:r w:rsidR="003C02FA">
        <w:rPr>
          <w:rFonts w:ascii="Times New Roman" w:eastAsia="仿宋" w:hAnsi="仿宋" w:hint="eastAsia"/>
          <w:i/>
          <w:spacing w:val="-10"/>
          <w:sz w:val="28"/>
          <w:szCs w:val="28"/>
        </w:rPr>
        <w:t>1、Laser Photonics Reviews / Advanced Design of a III‐Nitride Light‐Emitting Diode via Machine Learning / 9.800 / 2023,17,2300113 / 2023-10-25 / SCI收录 / 4 / 通讯作者：11/Lin Li（李琳）,12/Cheng Li（李澄）,13/Kai Huang（黄凯）,16/Rong Zhang（张荣）;第一作者：1/Zhuoying Jiang（姜卓颖）,2/Ying Jiang（江莹）,3/Mengyu Chen（陈孟瑜）,4/Jinchai Li（李金钗）;作者：5/Penggang Li（李鹏岗）,6/Binghuan Chen（陈秉桓）,7/Shanshan Zhao（赵珊珊）,8/Jie Wang（王 捷）,9/Sijie Jiang（江思洁）,10/Miaomin Cai（蔡淼敏）,14/Weifang Lu（卢卫芳）,15/Junyong Kang（康俊勇）;</w:t>
        <w:cr/>
        <w:t>2、Optics Express / Simplified numerical modeling for Fano interference-induced asymmetric light reflectance effect using equivalent medium theory / 3.200 / 2022,30, 22700-22711 / 2022-06-07 / SCI收录 / 2 / 通讯作者：5/Jinchai Li（李金钗）,6/Kai Huang（黄凯）;第一作者：1/Binghuang Chen（陈秉桓）;作者：2/Weifang Lu（卢卫芳）,3/Penggang Li（李鹏岗）,4/Xu Yang（杨旭）,7/Junyong Kang（康俊勇）,8/Rong Zhang（张荣）;</w:t>
        <w:cr/>
        <w:t/>
      </w:r>
    </w:p>
    <w:p w:rsidR="00B902C8" w:rsidRDefault="00A952D0">
      <w:pPr>
        <w:pStyle w:val="a0"/>
        <w:spacing w:line="560" w:lineRule="exact"/>
        <w:rPr>
          <w:rFonts w:ascii="仿宋_GB2312" w:eastAsia="仿宋_GB2312" w:hAnsi="仿宋_GB2312" w:cs="仿宋_GB2312"/>
          <w:b/>
          <w:color w:val="000000"/>
          <w:sz w:val="28"/>
          <w:szCs w:val="28"/>
        </w:rPr>
      </w:pPr>
      <w:r>
        <w:br/>
      </w:r>
      <w:r w:rsidR="00B902C8">
        <w:rPr>
          <w:rFonts w:ascii="仿宋_GB2312" w:eastAsia="仿宋_GB2312" w:hAnsi="仿宋_GB2312" w:cs="仿宋_GB2312" w:hint="eastAsia"/>
          <w:b/>
          <w:color w:val="000000"/>
          <w:sz w:val="28"/>
          <w:szCs w:val="28"/>
        </w:rPr>
        <w:t>其他支撑材料目录：</w:t>
      </w:r>
      <w:r>
        <w:br/>
      </w:r>
      <w:r w:rsidR="003C02FA" w:rsidRPr="003C02FA">
        <w:rPr>
          <w:rFonts w:ascii="仿宋_GB2312" w:eastAsia="仿宋_GB2312" w:hAnsi="仿宋_GB2312" w:cs="仿宋_GB2312" w:hint="eastAsia"/>
          <w:i/>
          <w:color w:val="000000"/>
          <w:sz w:val="28"/>
          <w:szCs w:val="28"/>
        </w:rPr>
        <w:t>1、计划任务书或合同书、任务委托书等 / 项目立项批文及联合协议书 / 厦门三安光电有限公司</w:t>
        <w:cr/>
        <w:t>2、计划任务书或合同书、任务委托书等 / 项目合同书 / 厦门三安光电有限公司</w:t>
        <w:cr/>
        <w:t/>
      </w:r>
    </w:p>
    <w:p w:rsidR="00B902C8" w:rsidRDefault="00B902C8">
      <w:pPr>
        <w:pStyle w:val="a0"/>
        <w:spacing w:line="460" w:lineRule="exact"/>
      </w:pPr>
    </w:p>
    <w:sectPr w:rsidR="00B902C8">
      <w:pgSz w:w="11906" w:h="16838"/>
      <w:pgMar w:top="1440" w:right="1531" w:bottom="1440" w:left="1531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等线">
    <w:altName w:val="宋体"/>
    <w:charset w:val="00"/>
    <w:family w:val="auto"/>
    <w:pitch w:val="default"/>
    <w:sig w:usb0="A00002BF" w:usb1="38CF7CFA" w:usb2="00000016" w:usb3="00000000" w:csb0="0004000F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68A"/>
    <w:rsid w:val="AFFF1036"/>
    <w:rsid w:val="B0FF0AF3"/>
    <w:rsid w:val="BAEB1801"/>
    <w:rsid w:val="BC3901AA"/>
    <w:rsid w:val="BEFF410A"/>
    <w:rsid w:val="BFBFAD73"/>
    <w:rsid w:val="BFE6E07C"/>
    <w:rsid w:val="BFF713D3"/>
    <w:rsid w:val="D0BC8F88"/>
    <w:rsid w:val="D37F5E11"/>
    <w:rsid w:val="DB5FBB05"/>
    <w:rsid w:val="DBBD2366"/>
    <w:rsid w:val="DEEB7153"/>
    <w:rsid w:val="DFE651AC"/>
    <w:rsid w:val="DFFE580B"/>
    <w:rsid w:val="EA7675D9"/>
    <w:rsid w:val="EBF203DC"/>
    <w:rsid w:val="F69E2856"/>
    <w:rsid w:val="F77A5A86"/>
    <w:rsid w:val="F77E019F"/>
    <w:rsid w:val="F78F1353"/>
    <w:rsid w:val="F7DFA45D"/>
    <w:rsid w:val="F7F3A5C8"/>
    <w:rsid w:val="F7F94813"/>
    <w:rsid w:val="F7FDA781"/>
    <w:rsid w:val="F9BB75D0"/>
    <w:rsid w:val="F9D72B76"/>
    <w:rsid w:val="F9DFCBB1"/>
    <w:rsid w:val="FADF2405"/>
    <w:rsid w:val="FBFBF095"/>
    <w:rsid w:val="FDBE145C"/>
    <w:rsid w:val="FE5B22E9"/>
    <w:rsid w:val="FEDF27EC"/>
    <w:rsid w:val="FEE34138"/>
    <w:rsid w:val="FEFA3668"/>
    <w:rsid w:val="FEFDFF83"/>
    <w:rsid w:val="FF2D6546"/>
    <w:rsid w:val="FF5E1330"/>
    <w:rsid w:val="FFBED067"/>
    <w:rsid w:val="FFCFEE87"/>
    <w:rsid w:val="FFDBC0ED"/>
    <w:rsid w:val="FFE23263"/>
    <w:rsid w:val="000C7684"/>
    <w:rsid w:val="00145239"/>
    <w:rsid w:val="002B3E42"/>
    <w:rsid w:val="003C02FA"/>
    <w:rsid w:val="004327AC"/>
    <w:rsid w:val="005A48E0"/>
    <w:rsid w:val="00605C7A"/>
    <w:rsid w:val="006F0B81"/>
    <w:rsid w:val="00826C08"/>
    <w:rsid w:val="00953E62"/>
    <w:rsid w:val="00A6617F"/>
    <w:rsid w:val="00A952D0"/>
    <w:rsid w:val="00B81E56"/>
    <w:rsid w:val="00B902C8"/>
    <w:rsid w:val="00C5788F"/>
    <w:rsid w:val="00CB29D8"/>
    <w:rsid w:val="00CC3516"/>
    <w:rsid w:val="00DB30F0"/>
    <w:rsid w:val="00E8268A"/>
    <w:rsid w:val="00E82D8E"/>
    <w:rsid w:val="00EC4B76"/>
    <w:rsid w:val="00F16FF3"/>
    <w:rsid w:val="00FB6CEF"/>
    <w:rsid w:val="01353326"/>
    <w:rsid w:val="087301A8"/>
    <w:rsid w:val="0CE25FEA"/>
    <w:rsid w:val="0DFFC512"/>
    <w:rsid w:val="0E690251"/>
    <w:rsid w:val="0FA5C748"/>
    <w:rsid w:val="105C6E7E"/>
    <w:rsid w:val="122D39E8"/>
    <w:rsid w:val="12546A46"/>
    <w:rsid w:val="178A1437"/>
    <w:rsid w:val="18E7726B"/>
    <w:rsid w:val="19B4EFEA"/>
    <w:rsid w:val="1D4420C4"/>
    <w:rsid w:val="1D684C2C"/>
    <w:rsid w:val="1FDF3D04"/>
    <w:rsid w:val="227B094B"/>
    <w:rsid w:val="22EC5952"/>
    <w:rsid w:val="23BF75D4"/>
    <w:rsid w:val="26C61434"/>
    <w:rsid w:val="27FFDB3C"/>
    <w:rsid w:val="28587F45"/>
    <w:rsid w:val="28F00BDD"/>
    <w:rsid w:val="2ECFD048"/>
    <w:rsid w:val="2FD7C272"/>
    <w:rsid w:val="2FF1B6AA"/>
    <w:rsid w:val="366A57CF"/>
    <w:rsid w:val="367A4492"/>
    <w:rsid w:val="373B1EE8"/>
    <w:rsid w:val="377E6FC7"/>
    <w:rsid w:val="3CFD7FF6"/>
    <w:rsid w:val="3D4F5C8D"/>
    <w:rsid w:val="3DD53D74"/>
    <w:rsid w:val="3E77C343"/>
    <w:rsid w:val="3EA82B1F"/>
    <w:rsid w:val="3F3275D4"/>
    <w:rsid w:val="3FFFAA8E"/>
    <w:rsid w:val="40270EE3"/>
    <w:rsid w:val="423B5529"/>
    <w:rsid w:val="457D5BD4"/>
    <w:rsid w:val="47762A53"/>
    <w:rsid w:val="47DB1F37"/>
    <w:rsid w:val="47F6139A"/>
    <w:rsid w:val="4D875F5D"/>
    <w:rsid w:val="4E386EB3"/>
    <w:rsid w:val="4E98EDDB"/>
    <w:rsid w:val="4FE72A34"/>
    <w:rsid w:val="4FFF1ECF"/>
    <w:rsid w:val="515845F1"/>
    <w:rsid w:val="51F7FF9C"/>
    <w:rsid w:val="55EF58DF"/>
    <w:rsid w:val="59177E55"/>
    <w:rsid w:val="5BAF69BF"/>
    <w:rsid w:val="5BAFD007"/>
    <w:rsid w:val="5BEFDE6F"/>
    <w:rsid w:val="5BFF24C2"/>
    <w:rsid w:val="5CA27395"/>
    <w:rsid w:val="5E7B2339"/>
    <w:rsid w:val="5F73DBE5"/>
    <w:rsid w:val="5FBD6EA0"/>
    <w:rsid w:val="5FDE12D6"/>
    <w:rsid w:val="5FF98BF0"/>
    <w:rsid w:val="61806DD8"/>
    <w:rsid w:val="631A287D"/>
    <w:rsid w:val="644A5221"/>
    <w:rsid w:val="64D05500"/>
    <w:rsid w:val="65252288"/>
    <w:rsid w:val="65E1BED2"/>
    <w:rsid w:val="66F7B869"/>
    <w:rsid w:val="67296F93"/>
    <w:rsid w:val="6AD001EB"/>
    <w:rsid w:val="6B9950D1"/>
    <w:rsid w:val="6BB5A5BE"/>
    <w:rsid w:val="6D4E4B1C"/>
    <w:rsid w:val="6DF53A25"/>
    <w:rsid w:val="6EFFAE43"/>
    <w:rsid w:val="6F7A1356"/>
    <w:rsid w:val="6F7EF841"/>
    <w:rsid w:val="71F751BD"/>
    <w:rsid w:val="74150344"/>
    <w:rsid w:val="7427FEDB"/>
    <w:rsid w:val="74750C93"/>
    <w:rsid w:val="74FB0DBB"/>
    <w:rsid w:val="75675828"/>
    <w:rsid w:val="779BAA7C"/>
    <w:rsid w:val="77EF9B71"/>
    <w:rsid w:val="7BEF1324"/>
    <w:rsid w:val="7C3D2CEC"/>
    <w:rsid w:val="7CBA2EE7"/>
    <w:rsid w:val="7CF941E4"/>
    <w:rsid w:val="7DDEA2B6"/>
    <w:rsid w:val="7DF3E72B"/>
    <w:rsid w:val="7E1CFA4F"/>
    <w:rsid w:val="7E7F11BF"/>
    <w:rsid w:val="7EDF443C"/>
    <w:rsid w:val="7F0D62D8"/>
    <w:rsid w:val="7F5D27BF"/>
    <w:rsid w:val="7F7D063F"/>
    <w:rsid w:val="7F7FBD4E"/>
    <w:rsid w:val="7FDFC824"/>
    <w:rsid w:val="7FE57C5B"/>
    <w:rsid w:val="7FE814C2"/>
    <w:rsid w:val="7FEC1B68"/>
    <w:rsid w:val="7FED7E86"/>
    <w:rsid w:val="7FEF5533"/>
    <w:rsid w:val="7FFF132D"/>
    <w:rsid w:val="7FFF2936"/>
    <w:rsid w:val="8EAB1E50"/>
    <w:rsid w:val="9FF261E3"/>
    <w:rsid w:val="A37B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29082-0E53-4A3B-BD5C-AA7763668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line="240" w:lineRule="atLeast"/>
      <w:jc w:val="center"/>
      <w:outlineLvl w:val="1"/>
    </w:pPr>
    <w:rPr>
      <w:rFonts w:eastAsia="黑体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qFormat/>
    <w:pPr>
      <w:widowControl/>
    </w:pPr>
    <w:rPr>
      <w:kern w:val="0"/>
    </w:rPr>
  </w:style>
  <w:style w:type="paragraph" w:styleId="a4">
    <w:name w:val="Body Text Indent"/>
    <w:basedOn w:val="a"/>
    <w:pPr>
      <w:spacing w:after="120"/>
      <w:ind w:leftChars="200" w:left="420"/>
    </w:pPr>
  </w:style>
  <w:style w:type="paragraph" w:styleId="a5">
    <w:name w:val="Plain Text"/>
    <w:basedOn w:val="a"/>
    <w:rPr>
      <w:rFonts w:ascii="宋体" w:hAnsi="Courier New"/>
      <w:szCs w:val="21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20">
    <w:name w:val="Body Text First Indent 2"/>
    <w:basedOn w:val="a4"/>
    <w:pPr>
      <w:ind w:firstLineChars="200" w:firstLine="420"/>
    </w:pPr>
  </w:style>
  <w:style w:type="table" w:styleId="a9">
    <w:name w:val="Table Grid"/>
    <w:basedOn w:val="a2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</w:style>
  <w:style w:type="character" w:customStyle="1" w:styleId="NormalCharacter">
    <w:name w:val="NormalCharacter"/>
    <w:semiHidden/>
    <w:qFormat/>
  </w:style>
  <w:style w:type="character" w:customStyle="1" w:styleId="maintitle">
    <w:name w:val="maintitle"/>
    <w:qFormat/>
  </w:style>
  <w:style w:type="character" w:customStyle="1" w:styleId="fontstyle01">
    <w:name w:val="fontstyle01"/>
    <w:qFormat/>
    <w:rPr>
      <w:rFonts w:ascii="仿宋" w:hAnsi="仿宋" w:hint="default"/>
      <w:color w:val="000000"/>
      <w:sz w:val="24"/>
      <w:szCs w:val="24"/>
    </w:rPr>
  </w:style>
  <w:style w:type="character" w:customStyle="1" w:styleId="21">
    <w:name w:val="樣式 內文2 + 標楷體 字元 字元"/>
    <w:qFormat/>
    <w:rPr>
      <w:rFonts w:ascii="DFKai-SB" w:eastAsia="DFKai-SB" w:hAnsi="DFKai-SB"/>
      <w:kern w:val="2"/>
      <w:sz w:val="28"/>
      <w:lang w:val="en-US" w:eastAsia="zh-TW" w:bidi="ar-SA"/>
    </w:rPr>
  </w:style>
  <w:style w:type="character" w:customStyle="1" w:styleId="editedhigh-light-bgordinary-span-edit">
    <w:name w:val="edited high-light-bg ordinary-span-edit"/>
    <w:qFormat/>
  </w:style>
  <w:style w:type="paragraph" w:customStyle="1" w:styleId="New">
    <w:name w:val="正文 New"/>
    <w:qFormat/>
    <w:pPr>
      <w:widowControl w:val="0"/>
      <w:spacing w:line="400" w:lineRule="exact"/>
      <w:ind w:left="11" w:right="11" w:firstLineChars="200" w:firstLine="200"/>
      <w:jc w:val="both"/>
    </w:pPr>
    <w:rPr>
      <w:rFonts w:ascii="Times New Roman" w:hAnsi="Times New Roman"/>
      <w:kern w:val="2"/>
      <w:sz w:val="21"/>
      <w:szCs w:val="24"/>
    </w:rPr>
  </w:style>
  <w:style w:type="paragraph" w:styleId="ac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  <w:rPr>
      <w:rFonts w:ascii="等线" w:eastAsia="等线" w:hAnsi="等线"/>
      <w:sz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paragraph" w:styleId="HTML">
    <w:name w:val="HTML Preformatted"/>
    <w:basedOn w:val="a"/>
    <w:link w:val="HTMLChar"/>
    <w:uiPriority w:val="99"/>
    <w:unhideWhenUsed/>
    <w:rsid w:val="00605C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605C7A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1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</Words>
  <Characters>231</Characters>
  <Application>Microsoft Office Word</Application>
  <DocSecurity>0</DocSecurity>
  <Lines>1</Lines>
  <Paragraphs>1</Paragraphs>
  <ScaleCrop>false</ScaleCrop>
  <Company>fjedu</Company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2025-04-09T07:23:00Z</dcterms:created>
  <dc:creator>子不语</dc:creator>
  <cp:lastModifiedBy>佘育生</cp:lastModifiedBy>
  <cp:lastPrinted>2022-12-06T10:54:00Z</cp:lastPrinted>
  <dcterms:modified xsi:type="dcterms:W3CDTF">2025-04-09T09:17:00Z</dcterms:modified>
  <cp:revision>6</cp:revision>
  <dc:title>一、项目名称：多重环境压力下海洋酸化的生理生态影响及其食物链效应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18970B87171442C9AE9E1D245ABB4D1C</vt:lpwstr>
  </property>
</Properties>
</file>