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睾丸相关疾病的诊疗与男性生育力保存</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科学技术进步奖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背景及意义：睾丸相关疾病发生率较高，直接影响患者生育功能及生存。睾丸相关疾病的诊治和生育力保存目前仍面临众多困难和不足，本项目围绕睾丸相关疾病诊疗领域关键问题，开展深入全面诊疗技术攻关，从睾丸相关疾病分子基础研究到睾丸相关急症救治处理，从显微外科到单精子冷冻等辅助生殖技术在睾丸疾病及生育力保护中的应用，建立全面诊断治疗理论体系。本项目响应和支持国家生育政策，从多维度干预并取得了多项重要突破。</w:t>
        <w:cr/>
        <w:t/>
        <w:cr/>
        <w:t xml:space="preserve">    主要技术创新点：</w:t>
        <w:cr/>
        <w:t/>
        <w:cr/>
        <w:t xml:space="preserve">    1.整合遗传和表观遗传方法厘清非梗阻性无精症的发病机制并筛选生物标志物：筛选包括PTPRN2、 EPHX1、SERPINB9和SLIT3等与非梗阻性无精症相关基因；明确miR-34c-3p下调PLCXD3影响非梗阻性无精症发生发展；发现ZCCHC13通过AKT/MAPK/c-MYC通路参与睾丸发育缺陷如非梗阻性无精症等疾病的调控；NSD2在精子发生过程中协调表观遗传重编程，其缺失影响精母细胞凋亡和异常精子发育进而导致生育能力受损。</w:t>
        <w:cr/>
        <w:t/>
        <w:cr/>
        <w:t xml:space="preserve">    2.通过遗传分析为睾丸肿瘤诊治及生育力保护提供理论依据和治疗靶点：通过系统综述和文献荟萃分析，阐明BAK1基因rs210138多态性和c-KIT配体（KITLG）基因多态性与睾丸生殖细胞肿瘤密切相关，为靶向治疗提供理论依据和靶点。</w:t>
        <w:cr/>
        <w:t/>
        <w:cr/>
        <w:t xml:space="preserve">    3.通过PK2相关研究为睾丸相关疾病诊治提供新的治疗策略：证明PK2在精索静脉曲张引发不育中发挥作用；PK2/PKR1通路及IL-1参与睾丸炎症发病进程；PK2/PKR1信号通过iNOS在调节睾丸炎症发生发展中发挥重要作用，靶向PK2可作为潜在新型睾丸炎临床治疗策略。</w:t>
        <w:cr/>
        <w:t/>
        <w:cr/>
        <w:t xml:space="preserve">    4.睾丸急症和男性不育等临床诊疗理论体系的创建及显微外科技术在睾丸相关疾病及生育力保护中的应用：创新性编写完整的睾丸急症相关疾病临床治疗和男性不育病因诊断理论体系；首次参与制定生育保护技术指南；证实附睾梗阻性所致无精症患者行显微镜下双针法输精管附睾管吻合术治疗具有良好的疗效，术中采用台阶法可有效简化手术操作。</w:t>
        <w:cr/>
        <w:t/>
        <w:cr/>
        <w:t xml:space="preserve">    5.辅助生殖技术在睾丸疾病及生育力保存中的应用：发现SPATC1L、DPY19L2和TSGA10的突变或缺失影响精子的形成和早期胚胎发育进程，可能导致无头精子或圆头精子综合征的发生；证实不同精子来源对体外卵母细胞成熟周期联合胞浆内单精子注射的受精率、分裂率和良好质量胚胎率、临床妊娠率和活产率等没有显著影响；主译《生殖医学遗传诊断新技术指南》和《男性不育遗传学》等专著、创新性地开展单精子冷冻技术，保存男性患者生育力，提高受孕率。                                </w:t>
        <w:cr/>
        <w:t/>
        <w:cr/>
        <w:t xml:space="preserve">    促进行业科技进步作用及应用推广情况：项目申请并获授权国家发明专利2项；发表论文15篇，SCI收录14篇；出版专著5部，编写行业技术指南1部；项目成果在包括国内著名的香港大学深圳医院、首都医科大学宣武医院、内蒙古医科大学附属医院、四川大学华西第二医院等10省市15余家三级医院推广应用，具有较好的社会效应和应用前景。</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1.厦门大学附属第一医院（厦门市第一医院）;</w:t>
        <w:cr/>
        <w:t>2.华中科技大学;</w:t>
        <w:cr/>
        <w:t>3.厦门大学</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1、庄炫：</w:t>
        <w:cr/>
        <w:t>负责本课题的总体研究方案的设计、实施过程中的监督，指导项目数据的分析、研究结果的讨论和撰写论文、专著等工作，以及项目推广应用的指导，是第一至第四部分创新点的提出人和主要完成人；是论文论著 1 的主要编写人员、论著2的通讯作者、论著4的第一作者；是知识产权 1、2的主要发明人，是课题1、2的负责人。</w:t>
        <w:cr/>
        <w:t>2、李志明：</w:t>
        <w:cr/>
        <w:t xml:space="preserve">参与本课题第一部分创新点的方案设计、实施、数据分析和论文撰写；是论文论著 3、4、5的第一作者，同时是论著5的通讯作者；是知识产权 1、2的主要发明人。</w:t>
        <w:cr/>
        <w:t/>
        <w:cr/>
        <w:t>3、王涛：</w:t>
        <w:cr/>
        <w:t>参与本项目第一部分、第二部分创新点的方案设计、实施、数据分析和方案撰写；参与本课题第四部分创新点的方案设计、实施、数据分析和专著撰写；是论文著作 1 、2的主要编写人员。</w:t>
        <w:cr/>
        <w:t>4、李友筑：</w:t>
        <w:cr/>
        <w:t>参与本项目第五部分创新点的方案设计、实施、数据分析、论文撰写和专著译写与编写，是课题3的负责人。</w:t>
        <w:cr/>
        <w:t>5、章慧平：</w:t>
        <w:cr/>
        <w:t>参与本项目第三部分之1、2、3创新点的方案设计、实施、数据分析、论文和专著撰写；是论文著作 1 、2的主要编写人员。</w:t>
        <w:cr/>
        <w:t>6、杨宇峰：</w:t>
        <w:cr/>
        <w:t>参与本项目第二部分、第四部分创新点的方案设计、实施、数据分析、论文和专著撰写；是论文著作 1、2的主要编写人员。</w:t>
        <w:cr/>
        <w:t>7、陈斌：</w:t>
        <w:cr/>
        <w:t>参与本项目第二部分、第四部分创新点的方案设计、实施、数据分析、论文和专著撰写；是论文著作 1 、2的主要编写人员。</w:t>
        <w:cr/>
        <w:t>8、曾子晏：</w:t>
        <w:cr/>
        <w:t>参与本课题第一部分创新点的方案设计、实施、数据分析和论文撰写；是论文论著 3、4的通讯作者；是知识产权 1、2的主要发明人。</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1、发明专利 / 一种血清miRNA生物标志物组合物与应用 / ZL201410819430.6 / 中国 / 1 : 厦门大学 / 1 : 曾子晏（曾用名：曾骥孟）,2 : 李志明,3 : 顾龙,4 : 庄炫 / 有效</w:t>
        <w:cr/>
        <w:t>2、发明专利 / 一种血清miRNA生物标志物的应用 / ZL201410819428.9 / 中国 / 1 : 厦门大学 / 1 : :曾子晏（曾用名：曾骥孟）,2 : 李志明,3 : 顾龙,4 : 庄炫 / 有效</w:t>
        <w:c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1、湖北科学技术出版社 / 《男科急症救治速查手册》 / 0.000 / 2020.12 / 2020-12-01 / 其他 / 0 / 作者：1/邢金春,2/章慧平,3/庄炫,4/周辉良;</w:t>
        <w:cr/>
        <w:t>2、湖北科学技术出版 社 / 《男性不育病因诊断学》 / 0.000 / 2023.11 / 2023-11-01 / 其他 / 0 / 作者：1/邢金春,2/庄炫,3/章慧平;</w:t>
        <w:cr/>
        <w:t>3、Cell Death Discovery / Novel biomarker ZCCHC13 revealed by integrating DNA methylation and mRNA expression data in non-obstructive azoospermia. / 6.100 / 2018 Feb 26; 4:36 / 2018-02-26 / SCI收录 / 16 / 通讯作者：4/Xuan Zhuang;第一作者：5/Chi-Meng Tzeng;作者：1/Zhiming Li,2/Shuai Chen,3/Yufeng Yang;</w:t>
        <w:cr/>
        <w:t>4、Scientific Reports / Integrated miRNA and mRNA expression profiling to identify mRNA targets of dysregulated miRNAs in non-obstructive azoospermia. / 3.800 / 2015 Jan 28; 5:7922 / 2015-01-28 / SCI收录 / 53 / 通讯作者：6/Zhongxian Lu,7/ChiMeng Tzeng;第一作者：1/Xuan Zhuang,2/Zhiming Li;作者：3/Huinuan Lin,4/Long Gu,5/Qing Lin;</w:t>
        <w:cr/>
        <w:t>5、Nucleic Acids Research / H3K36me2 methyltransferase NSD2 orchestrates epigenetic reprogramming during spermatogenesis. / 16.600 / 2022 Jul 8; 50(12):6 786-6800 / 2022-07-08 / SCI收录 / 17 / 通讯作者：7/Yunge Tang,8/LiQuan Zhou;第一作者：1/Zhiming Li,2/Xinzong Zhang;作者：3/Shiming Xie,4/Xing ping,5/Caifeng Fei,6/Xunbin Huang;</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1、计划任务书或合同书、任务委托书等 / 项目合同书 / 福建省科技厅</w:t>
        <w:cr/>
        <w:t>2、计划任务书或合同书、任务委托书等 / 项目合同书 / 厦门大学附属第一医院</w:t>
        <w:cr/>
        <w:t>3、计划任务书或合同书、任务委托书等 / 项目合同书 / 厦门大学附属第一医院</w:t>
        <w:cr/>
        <w:t>4、检索查新报告 / 查新报告 / 厦门市医药研究所医药信息中心</w:t>
        <w:cr/>
        <w:t>5、其他相关资料 / 论文被引用报告 / 厦门市医药研究所医药信息中心</w:t>
        <w:cr/>
        <w:t>6、其他相关资料 / 同意报奖证明 / 厦门大学附属第一医院</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