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23019">
      <w:pPr>
        <w:autoSpaceDE w:val="0"/>
        <w:autoSpaceDN w:val="0"/>
        <w:adjustRightInd w:val="0"/>
        <w:rPr>
          <w:rFonts w:ascii="黑体" w:hAnsi="黑体" w:eastAsia="黑体" w:cs="黑体"/>
          <w:bCs/>
          <w:kern w:val="0"/>
          <w:sz w:val="32"/>
          <w:szCs w:val="32"/>
        </w:rPr>
      </w:pPr>
      <w:r>
        <w:rPr>
          <w:rFonts w:hint="eastAsia" w:ascii="黑体" w:hAnsi="黑体" w:eastAsia="黑体" w:cs="黑体"/>
          <w:bCs/>
          <w:kern w:val="0"/>
          <w:sz w:val="32"/>
          <w:szCs w:val="32"/>
        </w:rPr>
        <w:t>附件3</w:t>
      </w:r>
    </w:p>
    <w:p w14:paraId="1E2AE837">
      <w:pPr>
        <w:autoSpaceDE w:val="0"/>
        <w:autoSpaceDN w:val="0"/>
        <w:adjustRightInd w:val="0"/>
        <w:spacing w:line="760" w:lineRule="exact"/>
        <w:jc w:val="center"/>
        <w:rPr>
          <w:rFonts w:ascii="方正小标宋_GBK" w:hAnsi="方正小标宋_GBK" w:eastAsia="方正小标宋_GBK" w:cs="方正小标宋_GBK"/>
          <w:bCs/>
          <w:kern w:val="0"/>
          <w:sz w:val="44"/>
          <w:szCs w:val="44"/>
        </w:rPr>
      </w:pPr>
      <w:r>
        <w:rPr>
          <w:rFonts w:ascii="方正小标宋_GBK" w:hAnsi="方正小标宋_GBK" w:eastAsia="方正小标宋_GBK" w:cs="方正小标宋_GBK"/>
          <w:bCs/>
          <w:kern w:val="0"/>
          <w:sz w:val="44"/>
          <w:szCs w:val="44"/>
        </w:rPr>
        <w:t>2024</w:t>
      </w:r>
      <w:r>
        <w:rPr>
          <w:rFonts w:hint="eastAsia" w:ascii="方正小标宋_GBK" w:hAnsi="方正小标宋_GBK" w:eastAsia="方正小标宋_GBK" w:cs="方正小标宋_GBK"/>
          <w:bCs/>
          <w:kern w:val="0"/>
          <w:sz w:val="44"/>
          <w:szCs w:val="44"/>
        </w:rPr>
        <w:t>年度福建省科学技术奖</w:t>
      </w:r>
    </w:p>
    <w:p w14:paraId="011A8BAD">
      <w:pPr>
        <w:autoSpaceDE w:val="0"/>
        <w:autoSpaceDN w:val="0"/>
        <w:adjustRightInd w:val="0"/>
        <w:spacing w:line="760" w:lineRule="exact"/>
        <w:jc w:val="center"/>
        <w:rPr>
          <w:rFonts w:ascii="方正小标宋_GBK" w:hAnsi="方正小标宋_GBK" w:eastAsia="方正小标宋_GBK" w:cs="方正小标宋_GBK"/>
          <w:b/>
          <w:kern w:val="0"/>
          <w:sz w:val="44"/>
          <w:szCs w:val="44"/>
        </w:rPr>
      </w:pPr>
      <w:r>
        <w:rPr>
          <w:rFonts w:hint="eastAsia" w:ascii="方正小标宋_GBK" w:hAnsi="方正小标宋_GBK" w:eastAsia="方正小标宋_GBK" w:cs="方正小标宋_GBK"/>
          <w:bCs/>
          <w:kern w:val="0"/>
          <w:sz w:val="44"/>
          <w:szCs w:val="44"/>
        </w:rPr>
        <w:t>提名项目（人选）公示内容</w:t>
      </w:r>
    </w:p>
    <w:p w14:paraId="1F1F1E3B">
      <w:pPr>
        <w:autoSpaceDE w:val="0"/>
        <w:autoSpaceDN w:val="0"/>
        <w:adjustRightInd w:val="0"/>
        <w:rPr>
          <w:rFonts w:ascii="仿宋_GB2312" w:hAnsi="仿宋_GB2312" w:eastAsia="仿宋_GB2312" w:cs="仿宋_GB2312"/>
          <w:b/>
          <w:kern w:val="0"/>
          <w:sz w:val="28"/>
          <w:szCs w:val="28"/>
        </w:rPr>
      </w:pPr>
    </w:p>
    <w:p w14:paraId="274FE4F5">
      <w:pPr>
        <w:autoSpaceDE w:val="0"/>
        <w:autoSpaceDN w:val="0"/>
        <w:adjustRightInd w:val="0"/>
        <w:spacing w:line="560" w:lineRule="exact"/>
        <w:rPr>
          <w:sz w:val="28"/>
          <w:szCs w:val="28"/>
          <w:lang w:val="en-GB"/>
        </w:rPr>
      </w:pPr>
      <w:r>
        <w:rPr>
          <w:rFonts w:hint="eastAsia" w:ascii="仿宋_GB2312" w:hAnsi="仿宋_GB2312" w:eastAsia="仿宋_GB2312" w:cs="仿宋_GB2312"/>
          <w:b/>
          <w:kern w:val="0"/>
          <w:sz w:val="28"/>
          <w:szCs w:val="28"/>
        </w:rPr>
        <w:t>项目名称：</w:t>
      </w:r>
      <w:r>
        <w:rPr>
          <w:rFonts w:hint="eastAsia" w:ascii="仿宋_GB2312" w:hAnsi="仿宋_GB2312" w:eastAsia="仿宋_GB2312" w:cs="仿宋_GB2312"/>
          <w:kern w:val="0"/>
          <w:sz w:val="28"/>
          <w:szCs w:val="28"/>
        </w:rPr>
        <w:t>新一代先进核电厂用全自主可控高可靠核级电源关键技术及产业化</w:t>
      </w:r>
    </w:p>
    <w:p w14:paraId="1854511C">
      <w:pPr>
        <w:autoSpaceDE w:val="0"/>
        <w:autoSpaceDN w:val="0"/>
        <w:adjustRightInd w:val="0"/>
        <w:spacing w:line="560" w:lineRule="exact"/>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提名奖种：</w:t>
      </w:r>
      <w:r>
        <w:rPr>
          <w:rFonts w:ascii="仿宋_GB2312" w:hAnsi="仿宋_GB2312" w:eastAsia="仿宋_GB2312" w:cs="仿宋_GB2312"/>
          <w:kern w:val="0"/>
          <w:sz w:val="28"/>
          <w:szCs w:val="28"/>
        </w:rPr>
        <w:t>科学技术进步奖</w:t>
      </w:r>
    </w:p>
    <w:p w14:paraId="0AA1B611">
      <w:pPr>
        <w:pStyle w:val="10"/>
        <w:shd w:val="clear" w:color="auto" w:fill="FFFFFF"/>
        <w:rPr>
          <w:rFonts w:ascii="仿宋_GB2312" w:hAnsi="仿宋_GB2312" w:eastAsia="仿宋_GB2312" w:cs="仿宋_GB2312"/>
          <w:b/>
          <w:sz w:val="28"/>
          <w:szCs w:val="28"/>
        </w:rPr>
      </w:pPr>
      <w:r>
        <w:rPr>
          <w:rFonts w:hint="eastAsia" w:ascii="仿宋_GB2312" w:hAnsi="仿宋_GB2312" w:eastAsia="仿宋_GB2312" w:cs="仿宋_GB2312"/>
          <w:b/>
          <w:sz w:val="28"/>
          <w:szCs w:val="28"/>
        </w:rPr>
        <w:t>提名单位：</w:t>
      </w:r>
      <w:r>
        <w:rPr>
          <w:rFonts w:hint="eastAsia" w:ascii="仿宋_GB2312" w:hAnsi="仿宋_GB2312" w:eastAsia="仿宋_GB2312" w:cs="仿宋_GB2312"/>
          <w:sz w:val="28"/>
          <w:szCs w:val="28"/>
        </w:rPr>
        <w:t>厦门市科学技术局</w:t>
      </w:r>
    </w:p>
    <w:p w14:paraId="7FCF6617">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项目简介：</w:t>
      </w:r>
      <w:r>
        <w:br w:type="textWrapping"/>
      </w:r>
      <w:r>
        <w:rPr>
          <w:rFonts w:hint="eastAsia" w:ascii="仿宋_GB2312" w:hAnsi="仿宋_GB2312" w:eastAsia="仿宋_GB2312" w:cs="仿宋_GB2312"/>
          <w:kern w:val="0"/>
          <w:sz w:val="28"/>
          <w:szCs w:val="28"/>
        </w:rPr>
        <w:t>目前我国核电设备国产化率已达到90%以上，但在本项目立项前，核级电源是其未实现国产化的重要装备之一，其关键技术深受国外“卡脖子”。本项目聚焦核电厂纵深防御体系中最关键的安全电源保障环节，针对我国核级电源长期受制于进口的产业痛点，从器件到系统全面实现全自主可控，率先突破新一代先进核电厂用全自主可控高可靠核级电源关键技术瓶颈，攻克了核级电源多模态智能控制、三重冗余容错架构设计、极端工况动态补偿等多项关键技术，成功实现产业化。</w:t>
      </w:r>
    </w:p>
    <w:p w14:paraId="0F36A223">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本项目创新点如下：</w:t>
      </w:r>
    </w:p>
    <w:p w14:paraId="41863379">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1）首创基于冗余脱敏(SPV)的全自主可控安全级电源控制技术，实现单点故障场景下输出端持续稳定供电、晶闸管瞬态闭锁控制矩阵、复合型尖峰能量耗散回路，解决传统电源控制系统保护装置单一问题，实现智能控制算法堆栈的全自主可控安全级电源控制系统。</w:t>
      </w:r>
    </w:p>
    <w:p w14:paraId="68896015">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2）首创基于国产化部件在线监测及故障预警的核电厂用充电器，逆变器，旁路稳压器及UPS供电系统，实时采集状态参数，记录故障点，避免丢失数据的问题。监测多种部件故障监测，将故障信息同步上传至智能化信息监测平台，集中显示，提高系统故障的快速定位和维护的便捷性。</w:t>
      </w:r>
    </w:p>
    <w:p w14:paraId="60EA5F6E">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3）提出基于电源输入端在线式多重阻抗匹配网络机制，结合多重滤波模块，通过数字控制算法调节IGBT切换回路改变多频段干扰阻抗特性，用以在线泄放25Hz-10kHz低频段（对应MIL-STD-461E的CE101低频传导发射要求）干扰信号。解决传统固定参数滤波器在核电复杂电磁环境中无法兼顾低频与高频干扰抑制，导致低频测试项通过率低的问题。实现低频段传导抗扰性能的显著突破，满足苛刻的限值要求同时兼容高频段标准的要求。</w:t>
      </w:r>
    </w:p>
    <w:p w14:paraId="0A9A119C">
      <w:pPr>
        <w:autoSpaceDE w:val="0"/>
        <w:autoSpaceDN w:val="0"/>
        <w:adjustRightInd w:val="0"/>
        <w:spacing w:line="56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4）提出基于电网电压瞬时值的周期化撷取机制，解析当前周期与过往N个周期的模值波动系数，并结合多周期连续阈值判定机制的技术保护设备，并利用有源馈网的协同抑制方法，将多余能量反向馈送至电网侧，解决传统监测方法对电网电压突变检测存在滞后性，直流能量抑制能力弱，难以在Forsmark效应（电压突变）发生前及时消除，导致核级电气设备易因电压突变损坏的问题。实现通过多周期模值变化分析，提前识别电压异常趋势，实现响应速度的跨越式优化，有效避免设备因Forsmark效应导致的故障。</w:t>
      </w:r>
    </w:p>
    <w:p w14:paraId="392BFCA6">
      <w:pPr>
        <w:autoSpaceDE w:val="0"/>
        <w:autoSpaceDN w:val="0"/>
        <w:adjustRightInd w:val="0"/>
        <w:spacing w:line="560" w:lineRule="exact"/>
        <w:rPr>
          <w:rFonts w:ascii="仿宋_GB2312" w:hAnsi="仿宋_GB2312" w:eastAsia="仿宋_GB2312" w:cs="仿宋_GB2312"/>
          <w:b/>
          <w:kern w:val="0"/>
          <w:sz w:val="28"/>
          <w:szCs w:val="28"/>
        </w:rPr>
      </w:pPr>
      <w:r>
        <w:rPr>
          <w:rFonts w:hint="eastAsia" w:ascii="仿宋_GB2312" w:hAnsi="仿宋_GB2312" w:eastAsia="仿宋_GB2312" w:cs="仿宋_GB2312"/>
          <w:kern w:val="0"/>
          <w:sz w:val="28"/>
          <w:szCs w:val="28"/>
        </w:rPr>
        <w:t>  中国机械工业联合会组织了由院士专家牵头的科技成果鉴定会，专家一致认定“核电站用1E级充电器/逆变器和UPS”系列产品具有自主知识产权，元器件国产化率达100%，填补了国内空白，达到国际先进水平，可靠性及智能健康监测等关键技术达到国际领先水平。依托本项目成果，第一完成人晋升正高级工程师并荣获厦门市高层次A类人才、福建省C类人才。项目成果发表学术论文9篇，获授权发明专利19项、软件著作权17件，项目成果已批量投产，应用于中广核、国核、中核等国央企重大核电站核岛、常规岛全域场景建设，项目产品累计实现销售收入23.65亿元，社会经济效益显著，为国家能源战略提供了核心装备保障。</w:t>
      </w:r>
      <w:bookmarkStart w:id="0" w:name="_GoBack"/>
      <w:bookmarkEnd w:id="0"/>
      <w:r>
        <w:br w:type="textWrapping"/>
      </w:r>
    </w:p>
    <w:p w14:paraId="275EFCBC">
      <w:pPr>
        <w:autoSpaceDE w:val="0"/>
        <w:autoSpaceDN w:val="0"/>
        <w:adjustRightInd w:val="0"/>
        <w:spacing w:line="560" w:lineRule="exact"/>
      </w:pPr>
      <w:r>
        <w:rPr>
          <w:rFonts w:hint="eastAsia" w:ascii="仿宋_GB2312" w:hAnsi="仿宋_GB2312" w:eastAsia="仿宋_GB2312" w:cs="仿宋_GB2312"/>
          <w:b/>
          <w:kern w:val="0"/>
          <w:sz w:val="28"/>
          <w:szCs w:val="28"/>
        </w:rPr>
        <w:t>主要完成单位：</w:t>
      </w:r>
      <w:r>
        <w:br w:type="textWrapping"/>
      </w:r>
      <w:r>
        <w:rPr>
          <w:rFonts w:hint="eastAsia" w:ascii="仿宋_GB2312" w:hAnsi="仿宋_GB2312" w:eastAsia="仿宋_GB2312" w:cs="仿宋_GB2312"/>
          <w:kern w:val="0"/>
          <w:sz w:val="28"/>
          <w:szCs w:val="28"/>
        </w:rPr>
        <w:t>1.科华数据股份有限公司;</w:t>
      </w:r>
      <w:r>
        <w:rPr>
          <w:rFonts w:hint="eastAsia" w:ascii="仿宋_GB2312" w:hAnsi="仿宋_GB2312" w:eastAsia="仿宋_GB2312" w:cs="仿宋_GB2312"/>
          <w:kern w:val="0"/>
          <w:sz w:val="28"/>
          <w:szCs w:val="28"/>
        </w:rPr>
        <w:cr/>
      </w:r>
      <w:r>
        <w:rPr>
          <w:rFonts w:hint="eastAsia" w:ascii="仿宋_GB2312" w:hAnsi="仿宋_GB2312" w:eastAsia="仿宋_GB2312" w:cs="仿宋_GB2312"/>
          <w:kern w:val="0"/>
          <w:sz w:val="28"/>
          <w:szCs w:val="28"/>
        </w:rPr>
        <w:t>2.上海核工程研究设计院股份有限公司;</w:t>
      </w:r>
      <w:r>
        <w:rPr>
          <w:rFonts w:hint="eastAsia" w:ascii="仿宋_GB2312" w:hAnsi="仿宋_GB2312" w:eastAsia="仿宋_GB2312" w:cs="仿宋_GB2312"/>
          <w:kern w:val="0"/>
          <w:sz w:val="28"/>
          <w:szCs w:val="28"/>
        </w:rPr>
        <w:cr/>
      </w:r>
      <w:r>
        <w:rPr>
          <w:rFonts w:hint="eastAsia" w:ascii="仿宋_GB2312" w:hAnsi="仿宋_GB2312" w:eastAsia="仿宋_GB2312" w:cs="仿宋_GB2312"/>
          <w:kern w:val="0"/>
          <w:sz w:val="28"/>
          <w:szCs w:val="28"/>
        </w:rPr>
        <w:t>3.中广核工程有限公司</w:t>
      </w:r>
      <w:r>
        <w:br w:type="textWrapping"/>
      </w:r>
    </w:p>
    <w:p w14:paraId="25DA6A0C">
      <w:pPr>
        <w:autoSpaceDE w:val="0"/>
        <w:autoSpaceDN w:val="0"/>
        <w:adjustRightInd w:val="0"/>
        <w:spacing w:line="560" w:lineRule="exact"/>
      </w:pPr>
      <w:r>
        <w:rPr>
          <w:rFonts w:hint="eastAsia" w:ascii="仿宋_GB2312" w:hAnsi="仿宋_GB2312" w:eastAsia="仿宋_GB2312" w:cs="仿宋_GB2312"/>
          <w:b/>
          <w:color w:val="000000"/>
          <w:kern w:val="0"/>
          <w:sz w:val="28"/>
          <w:szCs w:val="28"/>
        </w:rPr>
        <w:t xml:space="preserve">主要完成人及其贡献： </w:t>
      </w:r>
      <w:r>
        <w:br w:type="textWrapping"/>
      </w:r>
      <w:r>
        <w:rPr>
          <w:rFonts w:ascii="仿宋_GB2312" w:hAnsi="仿宋_GB2312" w:eastAsia="仿宋_GB2312" w:cs="仿宋_GB2312"/>
          <w:color w:val="000000"/>
          <w:kern w:val="0"/>
          <w:sz w:val="28"/>
          <w:szCs w:val="28"/>
        </w:rPr>
        <w:t>1、杜伟：</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杜伟投入本项目工作量占本人工作量的80%，主要负责项目技术方案制定、关键创新技术开发指导及产业化应用等，对“主要科技创新栏”中的技术创新点二：基于数字孪生的安全功能元器件寿命预测与健康度诊断技术；技术创新点三：基于电力电子技术阻抗匹配多频段切换控制的低干扰EMC滤波技术；技术创新点四：基于有源馈网钳位的forsmark效应抑制技术具有突出贡献，主要佐证材料见主要知识产权目录1、3、6、9、10。</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2、顾申杰：</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顾申杰投入本项目工作量占本人工作量的65%，主要负责关键创新技术开发指导、关键创新技术产业化应用等，对“主要科技创新栏”中的技术创新点三：基于电力电子技术阻抗匹配多频段切换控制的低干扰EMC滤波技术具有突出贡献，主要佐证材料有实用新型专利即一种适用于非能动先进压水堆的低压移动电源系统（ZL201620257445.2），软件著作权即核电厂电气系统综合分析软件（登记号2022SR1529820）。</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3、付明星：</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付明星是该项目第三完成人，其投入本项目工作量占本人工作量的70%，主要负责关键创新技术开发指导、关键创新技术产业化应用等，对“主要科技创新栏”中技术创新点三：基于电力电子技术阻抗匹配多频段切换控制的低干扰EMC滤波技术；技术创新点四：基于有源馈网钳位的forsmark效应抑制技术具有突出贡献，主要佐证材料见主要知识产权目录2、5，代表性论文1。</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4、陈皓：</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陈皓投入本项目工作量占本人工作量的55%，主要参与关键创新开发、创新成果技术应用产业化，对“主要科技创新栏”中技术创新点一：首创冗余脱敏(SPV)的全自主可控安全级电源控制技术具有突出贡献，主要佐证材料有5个授权的实用新型专利即一种角部加强件和使用该角部加强件的柜体结构（ZL201621267859.X）、一种框梁加强件和使用该框梁加强件的柜体框架（ZL201621267828.4）等。</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5、杨文泉：</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杨文泉投入本项目工作量占本人工作量的50%，主要参与关键创新开发、创新成果技术应用产业化，对“主要科技创新栏”中技术创新点一：首创冗余脱敏(SPV)的全自主可控安全级电源控制技术；技术创新点三：基于电力电子技术阻抗匹配多频段切换控制的低干扰EMC滤波技术；技术创新点四：基于有源馈网钳位的forsmark效应抑制技术具有突出贡献，佐证材料见主要知识产权目录1、2、4、5、6、7、8，代表性论文2。</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6、杨海涌：</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杨海涌是该项目第六完成人，其投入本项目工作量占本人工作量的45%，对“主要科技创新栏”中技术创新点一：首创冗余脱敏(SPV)的全自主可控安全级电源控制技术；技术创新点二：基于数字孪生的安全功能元器件寿命预测与健康度诊断技术；技术创新点三：基于电力电子技术阻抗匹配多频段切换控制的低干扰EMC滤波技术具有突出贡献，主要佐证材料见主要知识产权目录5、7、10。</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7、黄冬艳：</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黄冬艳是本项目第七完成人，其投入本项目工作量占本人工作量的40%，项目开发过程中，对“主要科技创新栏”中技术创新点二：基于数字孪生的安全功能元器件寿命预测与健康度诊断技术；技术创新点三：基于电力电子技术阻抗匹配多频段切换控制的低干扰EMC滤波技术具有突出贡献，主要佐证材料见主要知识产权目录9，代表性论文3。</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8、倪丹：</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倪丹是本项目第八完成人，其投入本项目工作量占本人工作量的35%，项目开发过程中，对“主要科技创新栏”中技术创新点二：基于数字孪生的安全功能元器件寿命预测与健康度诊断技术；技术创新点四：基于有源馈网钳位的forsmark效应抑制技术具有突出贡献，主要佐证材料见主要知识产权目录9、10，代表性论文5。</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9、李明成：</w:t>
      </w:r>
      <w:r>
        <w:rPr>
          <w:rFonts w:ascii="仿宋_GB2312" w:hAnsi="仿宋_GB2312" w:eastAsia="仿宋_GB2312" w:cs="仿宋_GB2312"/>
          <w:color w:val="000000"/>
          <w:kern w:val="0"/>
          <w:sz w:val="28"/>
          <w:szCs w:val="28"/>
        </w:rPr>
        <w:cr/>
      </w:r>
      <w:r>
        <w:rPr>
          <w:rFonts w:ascii="仿宋_GB2312" w:hAnsi="仿宋_GB2312" w:eastAsia="仿宋_GB2312" w:cs="仿宋_GB2312"/>
          <w:color w:val="000000"/>
          <w:kern w:val="0"/>
          <w:sz w:val="28"/>
          <w:szCs w:val="28"/>
        </w:rPr>
        <w:t>李明成投入本项目工作量占本人工作量的35%，项目开发过程中，对“主要科技创新栏”中技术创新点一：首创冗余脱敏(SPV)的全自主可控安全级电源控制技术；技术创新点三：基于电力电子技术阻抗匹配多频段切换控制的低干扰EMC滤波技术具有突出贡献，主要佐证材料有3个授权的实用新型专利，即一种绝缘夹套（专利号：ZL201820055830.8）、充电整流一体柜（专利号：ZL201520844304.6）等。</w:t>
      </w:r>
      <w:r>
        <w:rPr>
          <w:rFonts w:ascii="仿宋_GB2312" w:hAnsi="仿宋_GB2312" w:eastAsia="仿宋_GB2312" w:cs="仿宋_GB2312"/>
          <w:color w:val="000000"/>
          <w:kern w:val="0"/>
          <w:sz w:val="28"/>
          <w:szCs w:val="28"/>
        </w:rPr>
        <w:cr/>
      </w:r>
      <w:r>
        <w:br w:type="textWrapping"/>
      </w:r>
    </w:p>
    <w:p w14:paraId="399E9A09">
      <w:pPr>
        <w:pStyle w:val="2"/>
        <w:spacing w:line="560" w:lineRule="exact"/>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主要知识产权目录：</w:t>
      </w:r>
      <w:r>
        <w:br w:type="textWrapping"/>
      </w:r>
      <w:r>
        <w:rPr>
          <w:rFonts w:hint="eastAsia" w:ascii="Times New Roman" w:hAnsi="仿宋" w:eastAsia="仿宋"/>
          <w:i/>
          <w:spacing w:val="-10"/>
          <w:sz w:val="28"/>
          <w:szCs w:val="28"/>
        </w:rPr>
        <w:t>1、发明专利 / 基于双向变换器的Forsmark效应抑制方法及装置 / ZL202010242764.7 / 中国 / 1 : 科华恒盛股份有限公司,2 : 漳州科华技术有限责任公司 / 1 : 杜伟,2 : 杨文泉,3 : 白秋梁,4 : 陈志彬,5 : 戴永辉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2、发明专利 / 电源控制方法及电源 / ZL202110604025.2 / 中国 / 1 : 科华数据股份有限公司 / 1 : 杨文泉,2 : 付明星,3 : 陈志彬,4 : 郑金祥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3、发明专利 / 针对模块化电气设备中功率模块的检测系统 / ZL202010442251.0 / 中国 / 1 : 科华恒盛股份有限公司,2 : 漳州科华技术有限责任公司 / 1 : 杜伟,2 : 郑金祥,3 : 戴永辉,4 : 肖卓名,5 : 练富荣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4、发明专利 / 锯齿波产生电路 / ZL202010206504.4 / 中国  / 1 : 科华数据股份有限公司,2 : 漳州科华技术有限责任公司 / 1 : 白秋梁,2 : 杨文泉,3 : 上官昌焜,4 : 蒋日乾,5 : 苏灿华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5、发明专利 / 针对电池模块的充电器投切保护装置 / ZL202111194337.7 / 中国 / 1 : 科华数据股份有限公司,2 : 中广核工程有限公司 / 1 : 陈志彬,2 : 付明星,3 : 石楚源,4 : 杨文泉,5 : 任天磊,6 : 杨海涌,7 : 于艇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6、发明专利 / 电池充电控制装置 / ZL202011375800.3 / 中国 / 1 : 科华恒盛股份有限公司,2 : 漳州科华技术有限责任公司 / 1 : 杜伟,2 : 白秋梁,3 : 石楚源,4 : 杨文泉,5 : 陈宝煌,6 : 蒋日乾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7、发明专利 / 调压器及供电设备 / ZL202111603996.1 / 中国 / 1 : 科华数据股份有限公司,2 : 漳州科华电气技术有限公司 / 1 : 郑金祥,2 : 杨晓光,3 : 杨海涌,4 : 杨文泉,5 : 蒋日乾,6 : 林明智,7 : 赖作坤,8 : 林明坤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8、发明专利 / 旁路稳压器及维护方法 / ZL202011373573.0 / 中国 / 1 : 科华数据股份有限公司,2 : 漳州科华技术有限责任公司 / 1 : 杨文泉,2 : 杨宇秋,3 : 王露,4 : 郑金祥,5 : 王锋,6 : 陈宝煌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9、发明专利 / 一种故障监控系统 / ZL201910744976.2 / 中国 / 1 : 科华数据股份有限公司,2 : 上海核工程研究设计院股份有限公司 / 1 : 杜伟,2 : 黄冬艳,3 : 蒋日乾,4 : 郑张利,5 : 戴永辉,6 : 冯玉萍,7 : 陈志彬,8 : 张永鑫,9 : 李聪,10 : 倪丹,11 : 王思聪,12 : 刘昆 / 有效</w:t>
      </w:r>
      <w:r>
        <w:rPr>
          <w:rFonts w:hint="eastAsia" w:ascii="Times New Roman" w:hAnsi="仿宋" w:eastAsia="仿宋"/>
          <w:i/>
          <w:spacing w:val="-10"/>
          <w:sz w:val="28"/>
          <w:szCs w:val="28"/>
        </w:rPr>
        <w:cr/>
      </w:r>
      <w:r>
        <w:rPr>
          <w:rFonts w:hint="eastAsia" w:ascii="Times New Roman" w:hAnsi="仿宋" w:eastAsia="仿宋"/>
          <w:i/>
          <w:spacing w:val="-10"/>
          <w:sz w:val="28"/>
          <w:szCs w:val="28"/>
        </w:rPr>
        <w:t>10、发明专利 / UPS部件监测装置 / ZL202111075069.7 / 中国 / 1 : 科华数据股份有限公司,2 : 上海核工程研究设计院股份有限公司 / 1 : 杜伟,2 : 倪丹,3 : 石楚源,4 : 张永鑫,5 : 蒋日乾,6 : 蔡伟充,7 : 杨海涌 / 有效</w:t>
      </w:r>
      <w:r>
        <w:rPr>
          <w:rFonts w:hint="eastAsia" w:ascii="Times New Roman" w:hAnsi="仿宋" w:eastAsia="仿宋"/>
          <w:i/>
          <w:spacing w:val="-10"/>
          <w:sz w:val="28"/>
          <w:szCs w:val="28"/>
        </w:rPr>
        <w:cr/>
      </w:r>
    </w:p>
    <w:p w14:paraId="385AA84E">
      <w:pPr>
        <w:pStyle w:val="2"/>
        <w:spacing w:line="560" w:lineRule="exact"/>
        <w:rPr>
          <w:rFonts w:ascii="仿宋_GB2312" w:hAnsi="仿宋_GB2312" w:eastAsia="仿宋_GB2312" w:cs="仿宋_GB2312"/>
          <w:b/>
          <w:color w:val="000000"/>
          <w:sz w:val="28"/>
          <w:szCs w:val="28"/>
        </w:rPr>
      </w:pPr>
      <w:r>
        <w:br w:type="textWrapping"/>
      </w:r>
      <w:r>
        <w:rPr>
          <w:rFonts w:hint="eastAsia" w:ascii="仿宋_GB2312" w:hAnsi="仿宋_GB2312" w:eastAsia="仿宋_GB2312" w:cs="仿宋_GB2312"/>
          <w:b/>
          <w:color w:val="000000"/>
          <w:sz w:val="28"/>
          <w:szCs w:val="28"/>
        </w:rPr>
        <w:t>代表性论文专著目录：</w:t>
      </w:r>
      <w:r>
        <w:br w:type="textWrapping"/>
      </w:r>
      <w:r>
        <w:rPr>
          <w:rFonts w:hint="eastAsia" w:ascii="Times New Roman" w:hAnsi="仿宋" w:eastAsia="仿宋"/>
          <w:i/>
          <w:spacing w:val="-10"/>
          <w:sz w:val="28"/>
          <w:szCs w:val="28"/>
        </w:rPr>
        <w:t>1、核科学与工程 / 基于HyperWorks的核级不间断电源设备抗震强度分析 / 0.523 / 第238-243页 / 2017-12-01 / 未收录 / 0 / 通讯作者：1/付明星;第一作者：2/付明星;作者：3/林建,4/付丰年,5/李静;</w:t>
      </w:r>
      <w:r>
        <w:rPr>
          <w:rFonts w:hint="eastAsia" w:ascii="Times New Roman" w:hAnsi="仿宋" w:eastAsia="仿宋"/>
          <w:i/>
          <w:spacing w:val="-10"/>
          <w:sz w:val="28"/>
          <w:szCs w:val="28"/>
        </w:rPr>
        <w:cr/>
      </w:r>
      <w:r>
        <w:rPr>
          <w:rFonts w:hint="eastAsia" w:ascii="Times New Roman" w:hAnsi="仿宋" w:eastAsia="仿宋"/>
          <w:i/>
          <w:spacing w:val="-10"/>
          <w:sz w:val="28"/>
          <w:szCs w:val="28"/>
        </w:rPr>
        <w:t>2、核科学与工程 / 核电厂1E级直流和UPS系统旁路稳压器的新控制策略及实现 / 0.433 / 第1100-1105页 / 2024-10-01 / 未收录 / 0 / 通讯作者：1/杨文泉;第一作者：2/刘伟;</w:t>
      </w:r>
      <w:r>
        <w:rPr>
          <w:rFonts w:hint="eastAsia" w:ascii="Times New Roman" w:hAnsi="仿宋" w:eastAsia="仿宋"/>
          <w:i/>
          <w:spacing w:val="-10"/>
          <w:sz w:val="28"/>
          <w:szCs w:val="28"/>
        </w:rPr>
        <w:cr/>
      </w:r>
      <w:r>
        <w:rPr>
          <w:rFonts w:hint="eastAsia" w:ascii="Times New Roman" w:hAnsi="仿宋" w:eastAsia="仿宋"/>
          <w:i/>
          <w:spacing w:val="-10"/>
          <w:sz w:val="28"/>
          <w:szCs w:val="28"/>
        </w:rPr>
        <w:t>3、电工技术 / 核电厂1E级直流及UPS系统电气隔离方案研究 / 0.355 / 第6（A）期第119-121页 / 2017-06-10 / 未收录 / 3 / 通讯作者：1/黄冬艳;第一作者：2/端木宇翔;</w:t>
      </w:r>
      <w:r>
        <w:rPr>
          <w:rFonts w:hint="eastAsia" w:ascii="Times New Roman" w:hAnsi="仿宋" w:eastAsia="仿宋"/>
          <w:i/>
          <w:spacing w:val="-10"/>
          <w:sz w:val="28"/>
          <w:szCs w:val="28"/>
        </w:rPr>
        <w:cr/>
      </w:r>
      <w:r>
        <w:rPr>
          <w:rFonts w:hint="eastAsia" w:ascii="Times New Roman" w:hAnsi="仿宋" w:eastAsia="仿宋"/>
          <w:i/>
          <w:spacing w:val="-10"/>
          <w:sz w:val="28"/>
          <w:szCs w:val="28"/>
        </w:rPr>
        <w:t>4、电工技术 / 核电厂安全级直流系统状态监测研究 / 0.355 / 36卷第10期 / 2015-10-10 / 未收录 / 2 / 通讯作者：2/黄冬艳;第一作者：1/陶果;</w:t>
      </w:r>
      <w:r>
        <w:rPr>
          <w:rFonts w:hint="eastAsia" w:ascii="Times New Roman" w:hAnsi="仿宋" w:eastAsia="仿宋"/>
          <w:i/>
          <w:spacing w:val="-10"/>
          <w:sz w:val="28"/>
          <w:szCs w:val="28"/>
        </w:rPr>
        <w:cr/>
      </w:r>
      <w:r>
        <w:rPr>
          <w:rFonts w:hint="eastAsia" w:ascii="Times New Roman" w:hAnsi="仿宋" w:eastAsia="仿宋"/>
          <w:i/>
          <w:spacing w:val="-10"/>
          <w:sz w:val="28"/>
          <w:szCs w:val="28"/>
        </w:rPr>
        <w:t>5、电源技术 / 电池储能技术在核电厂的适用性分析 / 1.353 / 45卷第4期 / 2021-04-01 / 未收录 / 3 / 通讯作者：1/黄冬艳;第一作者：2/倪丹;作者：3/陈冬;</w:t>
      </w:r>
      <w:r>
        <w:rPr>
          <w:rFonts w:hint="eastAsia" w:ascii="Times New Roman" w:hAnsi="仿宋" w:eastAsia="仿宋"/>
          <w:i/>
          <w:spacing w:val="-10"/>
          <w:sz w:val="28"/>
          <w:szCs w:val="28"/>
        </w:rPr>
        <w:cr/>
      </w:r>
    </w:p>
    <w:p w14:paraId="79638309">
      <w:pPr>
        <w:pStyle w:val="2"/>
        <w:spacing w:line="560" w:lineRule="exact"/>
        <w:rPr>
          <w:rFonts w:ascii="仿宋_GB2312" w:hAnsi="仿宋_GB2312" w:eastAsia="仿宋_GB2312" w:cs="仿宋_GB2312"/>
          <w:b/>
          <w:color w:val="000000"/>
          <w:sz w:val="28"/>
          <w:szCs w:val="28"/>
        </w:rPr>
      </w:pPr>
      <w:r>
        <w:br w:type="textWrapping"/>
      </w:r>
      <w:r>
        <w:rPr>
          <w:rFonts w:hint="eastAsia" w:ascii="仿宋_GB2312" w:hAnsi="仿宋_GB2312" w:eastAsia="仿宋_GB2312" w:cs="仿宋_GB2312"/>
          <w:b/>
          <w:color w:val="000000"/>
          <w:sz w:val="28"/>
          <w:szCs w:val="28"/>
        </w:rPr>
        <w:t>其他支撑材料目录：</w:t>
      </w:r>
      <w:r>
        <w:br w:type="textWrapping"/>
      </w:r>
      <w:r>
        <w:rPr>
          <w:rFonts w:hint="eastAsia" w:ascii="仿宋_GB2312" w:hAnsi="仿宋_GB2312" w:eastAsia="仿宋_GB2312" w:cs="仿宋_GB2312"/>
          <w:i/>
          <w:color w:val="000000"/>
          <w:sz w:val="28"/>
          <w:szCs w:val="28"/>
        </w:rPr>
        <w:t>1、检索查新报告 / 查新报告 / 江苏省科技查新咨询中心</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2、其他相关资料 / 专利报奖知情同意书及论文作者知情同意报奖证明 / 科华数据股份有限公司、上海核工程研究设计院股份有限公司、中广核工程有限公司、漳州科华技术有限责任公司、漳州科华电气技术有限公司</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3、其他相关资料 / 科华数据股份有限公司与上海核工程研究设计院股份有限公司合作关系证明（专利） / 国家知识产权局</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4、其他相关资料 / 科华数据股份有限公司与中广核工程有限公司合作关系证明（专利及软著） / 国家知识产权局、版权局</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5、上一年度研究与发展（R/D）投入情况 / 研发费用专审报告 / 厦门则正会计师事务所有限公司</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6、其他相关资料 / 科华数据股份有限公司名称变更证明 / 厦门市市场监督管理局</w:t>
      </w:r>
      <w:r>
        <w:rPr>
          <w:rFonts w:hint="eastAsia" w:ascii="仿宋_GB2312" w:hAnsi="仿宋_GB2312" w:eastAsia="仿宋_GB2312" w:cs="仿宋_GB2312"/>
          <w:i/>
          <w:color w:val="000000"/>
          <w:sz w:val="28"/>
          <w:szCs w:val="28"/>
        </w:rPr>
        <w:cr/>
      </w:r>
      <w:r>
        <w:rPr>
          <w:rFonts w:hint="eastAsia" w:ascii="仿宋_GB2312" w:hAnsi="仿宋_GB2312" w:eastAsia="仿宋_GB2312" w:cs="仿宋_GB2312"/>
          <w:i/>
          <w:color w:val="000000"/>
          <w:sz w:val="28"/>
          <w:szCs w:val="28"/>
        </w:rPr>
        <w:t>7、其他相关资料 / 公示承诺函 / 科华数据股份有限公司、上海核工程研究设计院股份有限公司、中广核工程有限公司</w:t>
      </w:r>
      <w:r>
        <w:rPr>
          <w:rFonts w:hint="eastAsia" w:ascii="仿宋_GB2312" w:hAnsi="仿宋_GB2312" w:eastAsia="仿宋_GB2312" w:cs="仿宋_GB2312"/>
          <w:i/>
          <w:color w:val="000000"/>
          <w:sz w:val="28"/>
          <w:szCs w:val="28"/>
        </w:rPr>
        <w:cr/>
      </w:r>
    </w:p>
    <w:p w14:paraId="3352D617">
      <w:pPr>
        <w:pStyle w:val="2"/>
        <w:spacing w:line="460" w:lineRule="exact"/>
      </w:pPr>
    </w:p>
    <w:sectPr>
      <w:pgSz w:w="11906" w:h="16838"/>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DFKai-SB">
    <w:altName w:val="Microsoft JhengHei Light"/>
    <w:panose1 w:val="03000509000000000000"/>
    <w:charset w:val="88"/>
    <w:family w:val="script"/>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JhengHei Light">
    <w:panose1 w:val="020B0304030504040204"/>
    <w:charset w:val="88"/>
    <w:family w:val="auto"/>
    <w:pitch w:val="default"/>
    <w:sig w:usb0="8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88C429E"/>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line="240" w:lineRule="atLeast"/>
      <w:jc w:val="center"/>
      <w:outlineLvl w:val="1"/>
    </w:pPr>
    <w:rPr>
      <w:rFonts w:eastAsia="黑体"/>
      <w:b/>
      <w:bCs/>
      <w:sz w:val="32"/>
      <w:szCs w:val="32"/>
    </w:rPr>
  </w:style>
  <w:style w:type="paragraph" w:styleId="5">
    <w:name w:val="heading 3"/>
    <w:basedOn w:val="1"/>
    <w:next w:val="1"/>
    <w:qFormat/>
    <w:uiPriority w:val="9"/>
    <w:pPr>
      <w:spacing w:before="100" w:beforeAutospacing="1" w:after="100" w:afterAutospacing="1"/>
      <w:jc w:val="left"/>
      <w:outlineLvl w:val="2"/>
    </w:pPr>
    <w:rPr>
      <w:rFonts w:hint="eastAsia" w:ascii="宋体" w:hAnsi="宋体"/>
      <w:b/>
      <w:kern w:val="0"/>
      <w:sz w:val="27"/>
      <w:szCs w:val="27"/>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99"/>
    <w:pPr>
      <w:widowControl/>
    </w:pPr>
    <w:rPr>
      <w:kern w:val="0"/>
    </w:rPr>
  </w:style>
  <w:style w:type="paragraph" w:styleId="6">
    <w:name w:val="Body Text Indent"/>
    <w:basedOn w:val="1"/>
    <w:uiPriority w:val="0"/>
    <w:pPr>
      <w:spacing w:after="120"/>
      <w:ind w:left="420" w:leftChars="200"/>
    </w:pPr>
  </w:style>
  <w:style w:type="paragraph" w:styleId="7">
    <w:name w:val="Plain Text"/>
    <w:basedOn w:val="1"/>
    <w:uiPriority w:val="0"/>
    <w:rPr>
      <w:rFonts w:ascii="宋体" w:hAnsi="Courier New"/>
      <w:szCs w:val="21"/>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31"/>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1">
    <w:name w:val="Normal (Web)"/>
    <w:basedOn w:val="1"/>
    <w:qFormat/>
    <w:uiPriority w:val="99"/>
    <w:pPr>
      <w:spacing w:before="100" w:beforeAutospacing="1" w:after="100" w:afterAutospacing="1"/>
      <w:jc w:val="left"/>
    </w:pPr>
    <w:rPr>
      <w:rFonts w:ascii="Times New Roman" w:hAnsi="Times New Roman"/>
      <w:kern w:val="0"/>
      <w:sz w:val="24"/>
      <w:szCs w:val="24"/>
    </w:rPr>
  </w:style>
  <w:style w:type="paragraph" w:styleId="12">
    <w:name w:val="Body Text First Indent 2"/>
    <w:basedOn w:val="6"/>
    <w:uiPriority w:val="0"/>
    <w:pPr>
      <w:ind w:firstLine="420" w:firstLineChars="20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character" w:styleId="17">
    <w:name w:val="page number"/>
    <w:uiPriority w:val="0"/>
  </w:style>
  <w:style w:type="character" w:customStyle="1" w:styleId="18">
    <w:name w:val="NormalCharacter"/>
    <w:semiHidden/>
    <w:qFormat/>
    <w:uiPriority w:val="0"/>
  </w:style>
  <w:style w:type="character" w:customStyle="1" w:styleId="19">
    <w:name w:val="maintitle"/>
    <w:qFormat/>
    <w:uiPriority w:val="0"/>
  </w:style>
  <w:style w:type="character" w:customStyle="1" w:styleId="20">
    <w:name w:val="fontstyle01"/>
    <w:qFormat/>
    <w:uiPriority w:val="0"/>
    <w:rPr>
      <w:rFonts w:hint="default" w:ascii="仿宋" w:hAnsi="仿宋"/>
      <w:color w:val="000000"/>
      <w:sz w:val="24"/>
      <w:szCs w:val="24"/>
    </w:rPr>
  </w:style>
  <w:style w:type="character" w:customStyle="1" w:styleId="21">
    <w:name w:val="樣式 內文2 + 標楷體 字元 字元"/>
    <w:qFormat/>
    <w:uiPriority w:val="0"/>
    <w:rPr>
      <w:rFonts w:ascii="DFKai-SB" w:hAnsi="DFKai-SB" w:eastAsia="DFKai-SB"/>
      <w:kern w:val="2"/>
      <w:sz w:val="28"/>
      <w:lang w:val="en-US" w:eastAsia="zh-TW" w:bidi="ar-SA"/>
    </w:rPr>
  </w:style>
  <w:style w:type="character" w:customStyle="1" w:styleId="22">
    <w:name w:val="edited high-light-bg ordinary-span-edit"/>
    <w:qFormat/>
    <w:uiPriority w:val="0"/>
  </w:style>
  <w:style w:type="paragraph" w:customStyle="1" w:styleId="23">
    <w:name w:val="正文 New"/>
    <w:qFormat/>
    <w:uiPriority w:val="0"/>
    <w:pPr>
      <w:widowControl w:val="0"/>
      <w:spacing w:line="400" w:lineRule="exact"/>
      <w:ind w:left="11" w:right="11" w:firstLine="200" w:firstLineChars="200"/>
      <w:jc w:val="both"/>
    </w:pPr>
    <w:rPr>
      <w:rFonts w:ascii="Times New Roman" w:hAnsi="Times New Roman" w:eastAsia="宋体" w:cs="Times New Roman"/>
      <w:kern w:val="2"/>
      <w:sz w:val="21"/>
      <w:szCs w:val="24"/>
      <w:lang w:val="en-US" w:eastAsia="zh-CN" w:bidi="ar-SA"/>
    </w:rPr>
  </w:style>
  <w:style w:type="paragraph" w:styleId="24">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5">
    <w:name w:val="列出段落1"/>
    <w:basedOn w:val="1"/>
    <w:qFormat/>
    <w:uiPriority w:val="34"/>
    <w:pPr>
      <w:ind w:firstLine="420" w:firstLineChars="200"/>
    </w:pPr>
  </w:style>
  <w:style w:type="paragraph" w:customStyle="1" w:styleId="2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7">
    <w:name w:val="彩色列表 - 强调文字颜色 11"/>
    <w:basedOn w:val="1"/>
    <w:qFormat/>
    <w:uiPriority w:val="34"/>
    <w:pPr>
      <w:ind w:firstLine="420" w:firstLineChars="200"/>
    </w:pPr>
    <w:rPr>
      <w:rFonts w:ascii="等线" w:hAnsi="等线" w:eastAsia="等线"/>
      <w:sz w:val="24"/>
    </w:rPr>
  </w:style>
  <w:style w:type="paragraph" w:customStyle="1" w:styleId="28">
    <w:name w:val="Table Paragraph"/>
    <w:basedOn w:val="1"/>
    <w:qFormat/>
    <w:uiPriority w:val="1"/>
    <w:pPr>
      <w:autoSpaceDE w:val="0"/>
      <w:autoSpaceDN w:val="0"/>
      <w:adjustRightInd w:val="0"/>
      <w:jc w:val="left"/>
    </w:pPr>
    <w:rPr>
      <w:rFonts w:ascii="宋体" w:cs="宋体"/>
      <w:kern w:val="0"/>
      <w:sz w:val="24"/>
    </w:rPr>
  </w:style>
  <w:style w:type="paragraph" w:customStyle="1" w:styleId="29">
    <w:name w:val="列出段落11"/>
    <w:basedOn w:val="1"/>
    <w:qFormat/>
    <w:uiPriority w:val="0"/>
    <w:pPr>
      <w:ind w:firstLine="420" w:firstLineChars="200"/>
    </w:pPr>
  </w:style>
  <w:style w:type="paragraph" w:styleId="30">
    <w:name w:val="List Paragraph"/>
    <w:basedOn w:val="1"/>
    <w:qFormat/>
    <w:uiPriority w:val="34"/>
    <w:pPr>
      <w:ind w:firstLine="420" w:firstLineChars="200"/>
    </w:pPr>
  </w:style>
  <w:style w:type="character" w:customStyle="1" w:styleId="31">
    <w:name w:val="HTML 预设格式 Char"/>
    <w:basedOn w:val="15"/>
    <w:link w:val="10"/>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fjedu</Company>
  <Pages>8</Pages>
  <Words>4381</Words>
  <Characters>4962</Characters>
  <Lines>1</Lines>
  <Paragraphs>1</Paragraphs>
  <TotalTime>7</TotalTime>
  <ScaleCrop>false</ScaleCrop>
  <LinksUpToDate>false</LinksUpToDate>
  <CharactersWithSpaces>5355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2025-04-09T07:23:00Z</dcterms:created>
  <dc:creator>子不语</dc:creator>
  <cp:lastModifiedBy>燕婷</cp:lastModifiedBy>
  <cp:lastPrinted>2022-12-06T10:54:00Z</cp:lastPrinted>
  <dcterms:modified xsi:type="dcterms:W3CDTF">2025-04-29T08:55:47Z</dcterms:modified>
  <dc:title>一、项目名称：多重环境压力下海洋酸化的生理生态影响及其食物链效应</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18970B87171442C9AE9E1D245ABB4D1C</vt:lpwstr>
  </property>
  <property fmtid="{D5CDD505-2E9C-101B-9397-08002B2CF9AE}" pid="4" name="KSOTemplateDocerSaveRecord">
    <vt:lpwstr>eyJoZGlkIjoiODI1OGIwOWE3NDhiYTYxMzQ5OWRkMjZiOTM2OWJlM2EiLCJ1c2VySWQiOiI0MzM2NTM2MzkifQ==</vt:lpwstr>
  </property>
</Properties>
</file>