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02C8" w:rsidRDefault="00B902C8">
      <w:pPr>
        <w:autoSpaceDE w:val="0"/>
        <w:autoSpaceDN w:val="0"/>
        <w:adjustRightInd w:val="0"/>
        <w:rPr>
          <w:rFonts w:ascii="黑体" w:eastAsia="黑体" w:hAnsi="黑体" w:cs="黑体"/>
          <w:bCs/>
          <w:kern w:val="0"/>
          <w:sz w:val="32"/>
          <w:szCs w:val="32"/>
        </w:rPr>
      </w:pPr>
      <w:r>
        <w:rPr>
          <w:rFonts w:ascii="黑体" w:eastAsia="黑体" w:hAnsi="黑体" w:cs="黑体" w:hint="eastAsia"/>
          <w:bCs/>
          <w:kern w:val="0"/>
          <w:sz w:val="32"/>
          <w:szCs w:val="32"/>
        </w:rPr>
        <w:t>附件3</w:t>
      </w:r>
    </w:p>
    <w:p w:rsidR="00B902C8" w:rsidRDefault="000C7684">
      <w:pPr>
        <w:autoSpaceDE w:val="0"/>
        <w:autoSpaceDN w:val="0"/>
        <w:adjustRightInd w:val="0"/>
        <w:spacing w:line="760" w:lineRule="exact"/>
        <w:jc w:val="center"/>
        <w:rPr>
          <w:rFonts w:ascii="方正小标宋_GBK" w:eastAsia="方正小标宋_GBK" w:hAnsi="方正小标宋_GBK" w:cs="方正小标宋_GBK"/>
          <w:bCs/>
          <w:kern w:val="0"/>
          <w:sz w:val="44"/>
          <w:szCs w:val="44"/>
        </w:rPr>
      </w:pPr>
      <w:r>
        <w:rPr>
          <w:rFonts w:ascii="方正小标宋_GBK" w:eastAsia="方正小标宋_GBK" w:hAnsi="方正小标宋_GBK" w:cs="方正小标宋_GBK"/>
          <w:bCs/>
          <w:kern w:val="0"/>
          <w:sz w:val="44"/>
          <w:szCs w:val="44"/>
        </w:rPr>
        <w:t>2024</w:t>
      </w:r>
      <w:r w:rsidR="00B902C8">
        <w:rPr>
          <w:rFonts w:ascii="方正小标宋_GBK" w:eastAsia="方正小标宋_GBK" w:hAnsi="方正小标宋_GBK" w:cs="方正小标宋_GBK" w:hint="eastAsia"/>
          <w:bCs/>
          <w:kern w:val="0"/>
          <w:sz w:val="44"/>
          <w:szCs w:val="44"/>
        </w:rPr>
        <w:t>年度福建省科学技术奖</w:t>
      </w:r>
    </w:p>
    <w:p w:rsidR="00B902C8" w:rsidRDefault="00B902C8">
      <w:pPr>
        <w:autoSpaceDE w:val="0"/>
        <w:autoSpaceDN w:val="0"/>
        <w:adjustRightInd w:val="0"/>
        <w:spacing w:line="760" w:lineRule="exact"/>
        <w:jc w:val="center"/>
        <w:rPr>
          <w:rFonts w:ascii="方正小标宋_GBK" w:eastAsia="方正小标宋_GBK" w:hAnsi="方正小标宋_GBK" w:cs="方正小标宋_GBK"/>
          <w:b/>
          <w:kern w:val="0"/>
          <w:sz w:val="44"/>
          <w:szCs w:val="44"/>
        </w:rPr>
      </w:pPr>
      <w:r>
        <w:rPr>
          <w:rFonts w:ascii="方正小标宋_GBK" w:eastAsia="方正小标宋_GBK" w:hAnsi="方正小标宋_GBK" w:cs="方正小标宋_GBK" w:hint="eastAsia"/>
          <w:bCs/>
          <w:kern w:val="0"/>
          <w:sz w:val="44"/>
          <w:szCs w:val="44"/>
        </w:rPr>
        <w:t>提名项目（人选）公示内容</w:t>
      </w:r>
    </w:p>
    <w:p w:rsidR="00B902C8" w:rsidRDefault="00B902C8">
      <w:pPr>
        <w:autoSpaceDE w:val="0"/>
        <w:autoSpaceDN w:val="0"/>
        <w:adjustRightInd w:val="0"/>
        <w:rPr>
          <w:rFonts w:ascii="仿宋_GB2312" w:eastAsia="仿宋_GB2312" w:hAnsi="仿宋_GB2312" w:cs="仿宋_GB2312"/>
          <w:b/>
          <w:kern w:val="0"/>
          <w:sz w:val="28"/>
          <w:szCs w:val="28"/>
        </w:rPr>
      </w:pPr>
    </w:p>
    <w:p w:rsidR="00B902C8" w:rsidRDefault="00B902C8">
      <w:pPr>
        <w:autoSpaceDE w:val="0"/>
        <w:autoSpaceDN w:val="0"/>
        <w:adjustRightInd w:val="0"/>
        <w:spacing w:line="560" w:lineRule="exact"/>
        <w:rPr>
          <w:sz w:val="28"/>
          <w:szCs w:val="28"/>
          <w:lang w:val="en-GB"/>
        </w:rPr>
      </w:pPr>
      <w:bookmarkStart w:id="0" w:name="_GoBack"/>
      <w:bookmarkEnd w:id="0"/>
      <w:r>
        <w:rPr>
          <w:rFonts w:ascii="仿宋_GB2312" w:eastAsia="仿宋_GB2312" w:hAnsi="仿宋_GB2312" w:cs="仿宋_GB2312" w:hint="eastAsia"/>
          <w:b/>
          <w:kern w:val="0"/>
          <w:sz w:val="28"/>
          <w:szCs w:val="28"/>
        </w:rPr>
        <w:t>项目名称：</w:t>
      </w:r>
      <w:r w:rsidR="000C7684" w:rsidRPr="006F0B81">
        <w:rPr>
          <w:rFonts w:ascii="仿宋_GB2312" w:eastAsia="仿宋_GB2312" w:hAnsi="仿宋_GB2312" w:cs="仿宋_GB2312" w:hint="eastAsia"/>
          <w:kern w:val="0"/>
          <w:sz w:val="28"/>
          <w:szCs w:val="28"/>
        </w:rPr>
        <w:t>多酸型酶抑制剂的精准合成与性能</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提名奖种：</w:t>
      </w:r>
      <w:r w:rsidR="000C7684" w:rsidRPr="006F0B81">
        <w:rPr>
          <w:rFonts w:ascii="仿宋_GB2312" w:eastAsia="仿宋_GB2312" w:hAnsi="仿宋_GB2312" w:cs="仿宋_GB2312"/>
          <w:kern w:val="0"/>
          <w:sz w:val="28"/>
          <w:szCs w:val="28"/>
        </w:rPr>
        <w:t>自然科学奖</w:t>
      </w:r>
    </w:p>
    <w:p w:rsidR="00B902C8" w:rsidRDefault="00B902C8" w:rsidP="00605C7A">
      <w:pPr>
        <w:pStyle w:val="HTML"/>
        <w:shd w:val="clear" w:color="auto" w:fill="FFFFFF"/>
        <w:rPr>
          <w:rFonts w:ascii="仿宋_GB2312" w:eastAsia="仿宋_GB2312" w:hAnsi="仿宋_GB2312" w:cs="仿宋_GB2312"/>
          <w:b/>
          <w:sz w:val="28"/>
          <w:szCs w:val="28"/>
        </w:rPr>
      </w:pPr>
      <w:r>
        <w:rPr>
          <w:rFonts w:ascii="仿宋_GB2312" w:eastAsia="仿宋_GB2312" w:hAnsi="仿宋_GB2312" w:cs="仿宋_GB2312" w:hint="eastAsia"/>
          <w:b/>
          <w:sz w:val="28"/>
          <w:szCs w:val="28"/>
        </w:rPr>
        <w:t>提名单位：</w:t>
      </w:r>
      <w:r w:rsidR="000C7684" w:rsidRPr="006F0B81">
        <w:rPr>
          <w:rFonts w:ascii="仿宋_GB2312" w:eastAsia="仿宋_GB2312" w:hAnsi="仿宋_GB2312" w:cs="仿宋_GB2312" w:hint="eastAsia"/>
          <w:sz w:val="28"/>
          <w:szCs w:val="28"/>
        </w:rPr>
        <w:t>厦门市科学技术局</w:t>
      </w:r>
    </w:p>
    <w:p w:rsidR="00B902C8" w:rsidRDefault="00B902C8">
      <w:pPr>
        <w:autoSpaceDE w:val="0"/>
        <w:autoSpaceDN w:val="0"/>
        <w:adjustRightInd w:val="0"/>
        <w:spacing w:line="560" w:lineRule="exact"/>
        <w:rPr>
          <w:rFonts w:ascii="仿宋_GB2312" w:eastAsia="仿宋_GB2312" w:hAnsi="仿宋_GB2312" w:cs="仿宋_GB2312"/>
          <w:b/>
          <w:kern w:val="0"/>
          <w:sz w:val="28"/>
          <w:szCs w:val="28"/>
        </w:rPr>
      </w:pPr>
      <w:r>
        <w:rPr>
          <w:rFonts w:ascii="仿宋_GB2312" w:eastAsia="仿宋_GB2312" w:hAnsi="仿宋_GB2312" w:cs="仿宋_GB2312" w:hint="eastAsia"/>
          <w:b/>
          <w:kern w:val="0"/>
          <w:sz w:val="28"/>
          <w:szCs w:val="28"/>
        </w:rPr>
        <w:t>项目简介：</w:t>
      </w:r>
      <w:r>
        <w:br/>
      </w:r>
      <w:r w:rsidR="00CC3516" w:rsidRPr="006F0B81">
        <w:rPr>
          <w:rFonts w:ascii="仿宋_GB2312" w:eastAsia="仿宋_GB2312" w:hAnsi="仿宋_GB2312" w:cs="仿宋_GB2312" w:hint="eastAsia"/>
          <w:kern w:val="0"/>
          <w:sz w:val="28"/>
          <w:szCs w:val="28"/>
        </w:rPr>
        <w:t>本项目属于无机化学和材料科学的交叉学科。</w:t>
        <w:cr/>
        <w:t/>
        <w:cr/>
        <w:t xml:space="preserve"> 多金属氧酸盐又称多酸（Polyoxometalates, POMs），是一类由高氧化态的前过渡金属（如V, MO, W等）与氧形成的纳米级无机金属-氧簇化合物。多酸中的金属离子可部分被其他过渡金属取代形成取代型杂多酸化合物，也可有目的选择组成元素来调控其物理和化学性质。目前，POMs功能化材料因在光电材料、储能材料、催化、电化学、能源转化、医药、尤其在抗癌、抗病毒、抑菌、治疗阿尔茨海默氏病以及抗糖尿病等领域，都具有广阔的应用前景而备受瞩目。本成果针对多酸型酶抑制剂目前存在酶动力学机理未知、代谢通路不清楚等问题，开展系统研究工作，取得系列创新性成果，为多酸型酶抑制剂材料的设计与功能应用提供有意义的科学依据。主要科学发现如下：</w:t>
        <w:cr/>
        <w:t/>
        <w:cr/>
        <w:t/>
        <w:cr/>
        <w:t xml:space="preserve">	提出多金属氧酸盐作为酪氨酸酶抑制剂和多酸作为-葡萄糖苷酶抑制剂的总体设计理念，通过分子模拟模型，建立POMs对黑色素信号通路影响的分子模型和POMs对-葡萄糖苷酶抑制剂的分子模型；探讨POMs与酶分子的模拟结合方式，系统考察POMs结构对于二种酶的性能的影响，建立了POMs与二种酶的构效关系。为设计新型酶抑制剂材料提供新策略。</w:t>
        <w:cr/>
        <w:t xml:space="preserve">	发现（1）POMs对于黑色素信号通路中的关键转录因子MITF的作用机理，探讨多金属氧酸盐对于整个细胞中重要代谢通路的影响；（2）多酸结构对-葡萄糖苷酶的抑制效果及作用机理有调控作用；（3）目标多酸有电化学传感性能。</w:t>
        <w:cr/>
        <w:t xml:space="preserve">	阐明了多酸对酶抑制效果及作用的分子机理（1）以POMs为效应物，研究其在黑色素瘤细胞中，对黑色素信号通路的干扰情况、结合位点以及干扰黑色素信号通路的具体分子机理。通过检测酪氨酸酶和MITF等关键蛋白表达的变化，结合下游蛋白、上游蛋白变化，阐明干扰黑色素信号通路的分子机理，揭示POMs对于细胞内黑色素信号通路的干扰作用的科学规律、提出的学术观点，为国内外学术界所公认和广泛引用，推动了多金属氧酸盐的研究发展。</w:t>
        <w:cr/>
        <w:t xml:space="preserve">	研制了多酸型传感器，用于水产品新鲜度及贮藏中生物胺的代谢程度﹑褐变度程度及各种药残留检测。</w:t>
        <w:cr/>
        <w:t/>
        <w:cr/>
        <w:t/>
        <w:cr/>
        <w:t xml:space="preserve"> 项目组成员一直从事多酸化学研究工作，第一项目完成人在2008-2022四次获国家自然科学基金面上项目资助，其中三项已结题。本项目围绕多酸型酶抑制剂的设计策略以及在酶学和分子传感等领域的应用开展系列原创性工作。在Inorganic Chemistry Frontiers、FoodChemistry、Journal of Inorganic Biochemistry等国际重要期刊发表论文89篇，其中SCI、EI检索论文57篇，被国内外他人引用828次，单篇最高引用43次。研究工作受到化学领域科研学者的关注，在国际无机化学杂志《Inorganic Chemistry Frontiers》上发表综述性论文，相关工作被Coordination Chemistry Reviews等综述论文多次引用。</w:t>
      </w:r>
      <w:r>
        <w:br/>
      </w:r>
    </w:p>
    <w:p w:rsidR="00B902C8" w:rsidRDefault="00B902C8">
      <w:pPr>
        <w:autoSpaceDE w:val="0"/>
        <w:autoSpaceDN w:val="0"/>
        <w:adjustRightInd w:val="0"/>
        <w:spacing w:line="560" w:lineRule="exact"/>
      </w:pPr>
      <w:r>
        <w:rPr>
          <w:rFonts w:ascii="仿宋_GB2312" w:eastAsia="仿宋_GB2312" w:hAnsi="仿宋_GB2312" w:cs="仿宋_GB2312" w:hint="eastAsia"/>
          <w:b/>
          <w:kern w:val="0"/>
          <w:sz w:val="28"/>
          <w:szCs w:val="28"/>
        </w:rPr>
        <w:t>主要完成单位：</w:t>
      </w:r>
      <w:r>
        <w:br/>
      </w:r>
      <w:r w:rsidR="002B3E42" w:rsidRPr="006F0B81">
        <w:rPr>
          <w:rFonts w:ascii="仿宋_GB2312" w:eastAsia="仿宋_GB2312" w:hAnsi="仿宋_GB2312" w:cs="仿宋_GB2312" w:hint="eastAsia"/>
          <w:kern w:val="0"/>
          <w:sz w:val="28"/>
          <w:szCs w:val="28"/>
        </w:rPr>
        <w:t>1.集美大学</w:t>
      </w:r>
      <w:r>
        <w:br/>
      </w:r>
    </w:p>
    <w:p w:rsidR="00B902C8" w:rsidRDefault="00B902C8">
      <w:pPr>
        <w:autoSpaceDE w:val="0"/>
        <w:autoSpaceDN w:val="0"/>
        <w:adjustRightInd w:val="0"/>
        <w:spacing w:line="560" w:lineRule="exact"/>
      </w:pPr>
      <w:r>
        <w:rPr>
          <w:rFonts w:ascii="仿宋_GB2312" w:eastAsia="仿宋_GB2312" w:hAnsi="仿宋_GB2312" w:cs="仿宋_GB2312" w:hint="eastAsia"/>
          <w:b/>
          <w:color w:val="000000"/>
          <w:kern w:val="0"/>
          <w:sz w:val="28"/>
          <w:szCs w:val="28"/>
        </w:rPr>
        <w:t xml:space="preserve">主要完成人及其贡献： </w:t>
      </w:r>
      <w:r>
        <w:br/>
      </w:r>
      <w:r w:rsidR="002B3E42" w:rsidRPr="006F0B81">
        <w:rPr>
          <w:rFonts w:ascii="仿宋_GB2312" w:eastAsia="仿宋_GB2312" w:hAnsi="仿宋_GB2312" w:cs="仿宋_GB2312"/>
          <w:color w:val="000000"/>
          <w:kern w:val="0"/>
          <w:sz w:val="28"/>
          <w:szCs w:val="28"/>
        </w:rPr>
        <w:t>1、王力：</w:t>
        <w:cr/>
        <w:t>本项目总体负责人，负责项目整体设计，包括前期调研和项目规划与实施。确定研究方向和技术路线，统筹协调，组织开展科研攻关。对科学发现点1、2、3、4做出了创造性贡献，是代表作论文【1、2、3、4、5】的通讯作者，本人投入工作量占本人工作总量的70%。</w:t>
        <w:cr/>
        <w:t>2、李健：</w:t>
        <w:cr/>
        <w:t>对科学发现点1、2做出了创造性贡献，与本项目总体负责人优势互补，开展了多酸型酶抑制剂的酶动力学机理及构效关系研究，是代表作论文【4】的通讯作者之一，本人投入工作量占本人工作总量的50%。</w:t>
        <w:cr/>
        <w:t>3、迟国祥：</w:t>
        <w:cr/>
        <w:t>对科学发现点1、2、3做出了创造性贡献，开展了多酸型酶抑制剂的精准合成与酶动力学机理及构效关系进行研究，是代表作论文【4】的论文作者之一，本人投入工作量占本人工作总量的30%。</w:t>
        <w:cr/>
        <w:t/>
      </w:r>
      <w:r>
        <w:br/>
      </w:r>
    </w:p>
    <w:p w:rsidR="00B902C8" w:rsidRPr="006F0B81" w:rsidRDefault="00B902C8" w:rsidP="006F0B81">
      <w:pPr>
        <w:pStyle w:val="a0"/>
        <w:spacing w:line="560" w:lineRule="exact"/>
        <w:rPr>
          <w:rFonts w:ascii="仿宋_GB2312" w:eastAsia="仿宋_GB2312" w:hAnsi="仿宋_GB2312" w:cs="仿宋_GB2312"/>
          <w:b/>
          <w:color w:val="000000"/>
          <w:sz w:val="28"/>
          <w:szCs w:val="28"/>
        </w:rPr>
      </w:pPr>
      <w:r>
        <w:rPr>
          <w:rFonts w:ascii="仿宋_GB2312" w:eastAsia="仿宋_GB2312" w:hAnsi="仿宋_GB2312" w:cs="仿宋_GB2312" w:hint="eastAsia"/>
          <w:b/>
          <w:color w:val="000000"/>
          <w:sz w:val="28"/>
          <w:szCs w:val="28"/>
        </w:rPr>
        <w:t>主要知识产权目录：</w:t>
      </w:r>
      <w:r>
        <w:br/>
      </w:r>
      <w:r w:rsidR="003C02FA">
        <w:rPr>
          <w:rFonts w:ascii="Times New Roman" w:eastAsia="仿宋" w:hAnsi="仿宋" w:hint="eastAsia"/>
          <w:i/>
          <w:spacing w:val="-10"/>
          <w:sz w:val="28"/>
          <w:szCs w:val="28"/>
        </w:rPr>
        <w:t/>
      </w:r>
    </w:p>
    <w:p w:rsidR="00B902C8" w:rsidRDefault="00A952D0" w:rsidP="006F0B81">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代表性论文专著目录：</w:t>
      </w:r>
      <w:r>
        <w:br/>
      </w:r>
      <w:r w:rsidR="003C02FA">
        <w:rPr>
          <w:rFonts w:ascii="Times New Roman" w:eastAsia="仿宋" w:hAnsi="仿宋" w:hint="eastAsia"/>
          <w:i/>
          <w:spacing w:val="-10"/>
          <w:sz w:val="28"/>
          <w:szCs w:val="28"/>
        </w:rPr>
        <w:t>1、FOOD CHEMISTRY / Functionality study of Na6PMo11FeO40 as a mushroom tyrosinase inhibitor / 8.500 / 2015，175，292-299 / 2015-05-15 / null / 43 / 通讯作者：4/Li Wang;第一作者：1/Rui Xing;作者：2/Aping Zheng,3/Fang Wang,5/Yaping Yu,6/Aihua Jiang;</w:t>
        <w:cr/>
        <w:t>2、FOOD CHEMISTRY / Inhibitory effects of Na7PMo11CuO40 on mushroom tyrosinase and melanin formation and its antimicrobial activities / 8.500 / 2016，197，205-211 / 2016-04-15 / null / 40 / 通讯作者：2/Fang Wang,5/Li Wang;第一作者：1/Rui Xing;作者：3/Le Dong,4/A-Ping Zheng,6/Wen-Jin Sua,7/Ting Lin;</w:t>
        <w:cr/>
        <w:t>3、FOOD CHEMISTRY / Inhibitory effects of α-Na8SiW11CoO40 on tyrosinase and its application in controlling browning of fresh-cut apples / 8.500 / 2015，188， 177-183 / 2015-12-01 / null / 30 / 通讯作者：5/Li Wang;第一作者：1/Bing-Nian Chen;作者：2/Rui Xing,3/Fang Wang,4/A-Ping Zheng;</w:t>
        <w:cr/>
        <w:t>4、Inorganic Chemistry Fontiers / Research progress on the inhibition of enzymes by polyoxometalates / 6.100 / 2020，7，4320-4332 / 2020-11-21 / null / 45 / 通讯作者：5/Li Wang,6/Bingnian Chen,7/Jian Li;第一作者：1/Meijuan Zhao;作者：2/Xiangsong Chen,3/Guoxiang Chi,4/Die Shuai;</w:t>
        <w:cr/>
        <w:t>5、化学学报 / H6[P2Mo18O62]的钒取代多金属氧酸盐对小鼠黑色素瘤细胞B16黑色素生成的调控及其机制研究 / 2.800 / 2022，80，116-125 / 2022-01-18 / null / 8 / 通讯作者：7/王力;第一作者：1/陈祥松;作者：2/帅蝶,3/姜泽东,4/杨晗,5/罗丹,6/倪辉,8/陈丙年;</w:t>
        <w:cr/>
        <w:t/>
      </w:r>
    </w:p>
    <w:p w:rsidR="00B902C8" w:rsidRDefault="00A952D0">
      <w:pPr>
        <w:pStyle w:val="a0"/>
        <w:spacing w:line="560" w:lineRule="exact"/>
        <w:rPr>
          <w:rFonts w:ascii="仿宋_GB2312" w:eastAsia="仿宋_GB2312" w:hAnsi="仿宋_GB2312" w:cs="仿宋_GB2312"/>
          <w:b/>
          <w:color w:val="000000"/>
          <w:sz w:val="28"/>
          <w:szCs w:val="28"/>
        </w:rPr>
      </w:pPr>
      <w:r>
        <w:br/>
      </w:r>
      <w:r w:rsidR="00B902C8">
        <w:rPr>
          <w:rFonts w:ascii="仿宋_GB2312" w:eastAsia="仿宋_GB2312" w:hAnsi="仿宋_GB2312" w:cs="仿宋_GB2312" w:hint="eastAsia"/>
          <w:b/>
          <w:color w:val="000000"/>
          <w:sz w:val="28"/>
          <w:szCs w:val="28"/>
        </w:rPr>
        <w:t>其他支撑材料目录：</w:t>
      </w:r>
      <w:r>
        <w:br/>
      </w:r>
      <w:r w:rsidR="003C02FA" w:rsidRPr="003C02FA">
        <w:rPr>
          <w:rFonts w:ascii="仿宋_GB2312" w:eastAsia="仿宋_GB2312" w:hAnsi="仿宋_GB2312" w:cs="仿宋_GB2312" w:hint="eastAsia"/>
          <w:i/>
          <w:color w:val="000000"/>
          <w:sz w:val="28"/>
          <w:szCs w:val="28"/>
        </w:rPr>
        <w:t>1、其他相关资料 / 2024年科技经费情况表 / 集美大学</w:t>
        <w:cr/>
        <w:t>2、其他相关资料 / 代表作论文收录引用检索报告 / 集美大学</w:t>
        <w:cr/>
        <w:t>3、其他相关资料 / 其他SCI论文收录引用检索报告 / 集美大学</w:t>
        <w:cr/>
        <w:t/>
      </w:r>
    </w:p>
    <w:p w:rsidR="00B902C8" w:rsidRDefault="00B902C8">
      <w:pPr>
        <w:pStyle w:val="a0"/>
        <w:spacing w:line="460" w:lineRule="exact"/>
      </w:pPr>
    </w:p>
    <w:sectPr w:rsidR="00B902C8">
      <w:pgSz w:w="11906" w:h="16838"/>
      <w:pgMar w:top="1440" w:right="1531" w:bottom="1440" w:left="1531"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DFKai-SB">
    <w:panose1 w:val="03000509000000000000"/>
    <w:charset w:val="88"/>
    <w:family w:val="script"/>
    <w:pitch w:val="fixed"/>
    <w:sig w:usb0="00000003" w:usb1="080E0000" w:usb2="00000016" w:usb3="00000000" w:csb0="00100001" w:csb1="00000000"/>
  </w:font>
  <w:font w:name="等线">
    <w:altName w:val="宋体"/>
    <w:charset w:val="00"/>
    <w:family w:val="auto"/>
    <w:pitch w:val="default"/>
    <w:sig w:usb0="A00002BF" w:usb1="38CF7CFA" w:usb2="00000016" w:usb3="00000000" w:csb0="0004000F" w:csb1="00000000"/>
  </w:font>
  <w:font w:name="方正小标宋_GBK">
    <w:altName w:val="Arial Unicode MS"/>
    <w:charset w:val="86"/>
    <w:family w:val="auto"/>
    <w:pitch w:val="default"/>
    <w:sig w:usb0="00000000"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268A"/>
    <w:rsid w:val="AFFF1036"/>
    <w:rsid w:val="B0FF0AF3"/>
    <w:rsid w:val="BAEB1801"/>
    <w:rsid w:val="BC3901AA"/>
    <w:rsid w:val="BEFF410A"/>
    <w:rsid w:val="BFBFAD73"/>
    <w:rsid w:val="BFE6E07C"/>
    <w:rsid w:val="BFF713D3"/>
    <w:rsid w:val="D0BC8F88"/>
    <w:rsid w:val="D37F5E11"/>
    <w:rsid w:val="DB5FBB05"/>
    <w:rsid w:val="DBBD2366"/>
    <w:rsid w:val="DEEB7153"/>
    <w:rsid w:val="DFE651AC"/>
    <w:rsid w:val="DFFE580B"/>
    <w:rsid w:val="EA7675D9"/>
    <w:rsid w:val="EBF203DC"/>
    <w:rsid w:val="F69E2856"/>
    <w:rsid w:val="F77A5A86"/>
    <w:rsid w:val="F77E019F"/>
    <w:rsid w:val="F78F1353"/>
    <w:rsid w:val="F7DFA45D"/>
    <w:rsid w:val="F7F3A5C8"/>
    <w:rsid w:val="F7F94813"/>
    <w:rsid w:val="F7FDA781"/>
    <w:rsid w:val="F9BB75D0"/>
    <w:rsid w:val="F9D72B76"/>
    <w:rsid w:val="F9DFCBB1"/>
    <w:rsid w:val="FADF2405"/>
    <w:rsid w:val="FBFBF095"/>
    <w:rsid w:val="FDBE145C"/>
    <w:rsid w:val="FE5B22E9"/>
    <w:rsid w:val="FEDF27EC"/>
    <w:rsid w:val="FEE34138"/>
    <w:rsid w:val="FEFA3668"/>
    <w:rsid w:val="FEFDFF83"/>
    <w:rsid w:val="FF2D6546"/>
    <w:rsid w:val="FF5E1330"/>
    <w:rsid w:val="FFBED067"/>
    <w:rsid w:val="FFCFEE87"/>
    <w:rsid w:val="FFDBC0ED"/>
    <w:rsid w:val="FFE23263"/>
    <w:rsid w:val="000C7684"/>
    <w:rsid w:val="00145239"/>
    <w:rsid w:val="002B3E42"/>
    <w:rsid w:val="003C02FA"/>
    <w:rsid w:val="004327AC"/>
    <w:rsid w:val="005A48E0"/>
    <w:rsid w:val="00605C7A"/>
    <w:rsid w:val="006F0B81"/>
    <w:rsid w:val="00826C08"/>
    <w:rsid w:val="00953E62"/>
    <w:rsid w:val="00A6617F"/>
    <w:rsid w:val="00A952D0"/>
    <w:rsid w:val="00B81E56"/>
    <w:rsid w:val="00B902C8"/>
    <w:rsid w:val="00C5788F"/>
    <w:rsid w:val="00CB29D8"/>
    <w:rsid w:val="00CC3516"/>
    <w:rsid w:val="00DB30F0"/>
    <w:rsid w:val="00E8268A"/>
    <w:rsid w:val="00E82D8E"/>
    <w:rsid w:val="00EC4B76"/>
    <w:rsid w:val="00F16FF3"/>
    <w:rsid w:val="00FB6CEF"/>
    <w:rsid w:val="01353326"/>
    <w:rsid w:val="087301A8"/>
    <w:rsid w:val="0CE25FEA"/>
    <w:rsid w:val="0DFFC512"/>
    <w:rsid w:val="0E690251"/>
    <w:rsid w:val="0FA5C748"/>
    <w:rsid w:val="105C6E7E"/>
    <w:rsid w:val="122D39E8"/>
    <w:rsid w:val="12546A46"/>
    <w:rsid w:val="178A1437"/>
    <w:rsid w:val="18E7726B"/>
    <w:rsid w:val="19B4EFEA"/>
    <w:rsid w:val="1D4420C4"/>
    <w:rsid w:val="1D684C2C"/>
    <w:rsid w:val="1FDF3D04"/>
    <w:rsid w:val="227B094B"/>
    <w:rsid w:val="22EC5952"/>
    <w:rsid w:val="23BF75D4"/>
    <w:rsid w:val="26C61434"/>
    <w:rsid w:val="27FFDB3C"/>
    <w:rsid w:val="28587F45"/>
    <w:rsid w:val="28F00BDD"/>
    <w:rsid w:val="2ECFD048"/>
    <w:rsid w:val="2FD7C272"/>
    <w:rsid w:val="2FF1B6AA"/>
    <w:rsid w:val="366A57CF"/>
    <w:rsid w:val="367A4492"/>
    <w:rsid w:val="373B1EE8"/>
    <w:rsid w:val="377E6FC7"/>
    <w:rsid w:val="3CFD7FF6"/>
    <w:rsid w:val="3D4F5C8D"/>
    <w:rsid w:val="3DD53D74"/>
    <w:rsid w:val="3E77C343"/>
    <w:rsid w:val="3EA82B1F"/>
    <w:rsid w:val="3F3275D4"/>
    <w:rsid w:val="3FFFAA8E"/>
    <w:rsid w:val="40270EE3"/>
    <w:rsid w:val="423B5529"/>
    <w:rsid w:val="457D5BD4"/>
    <w:rsid w:val="47762A53"/>
    <w:rsid w:val="47DB1F37"/>
    <w:rsid w:val="47F6139A"/>
    <w:rsid w:val="4D875F5D"/>
    <w:rsid w:val="4E386EB3"/>
    <w:rsid w:val="4E98EDDB"/>
    <w:rsid w:val="4FE72A34"/>
    <w:rsid w:val="4FFF1ECF"/>
    <w:rsid w:val="515845F1"/>
    <w:rsid w:val="51F7FF9C"/>
    <w:rsid w:val="55EF58DF"/>
    <w:rsid w:val="59177E55"/>
    <w:rsid w:val="5BAF69BF"/>
    <w:rsid w:val="5BAFD007"/>
    <w:rsid w:val="5BEFDE6F"/>
    <w:rsid w:val="5BFF24C2"/>
    <w:rsid w:val="5CA27395"/>
    <w:rsid w:val="5E7B2339"/>
    <w:rsid w:val="5F73DBE5"/>
    <w:rsid w:val="5FBD6EA0"/>
    <w:rsid w:val="5FDE12D6"/>
    <w:rsid w:val="5FF98BF0"/>
    <w:rsid w:val="61806DD8"/>
    <w:rsid w:val="631A287D"/>
    <w:rsid w:val="644A5221"/>
    <w:rsid w:val="64D05500"/>
    <w:rsid w:val="65252288"/>
    <w:rsid w:val="65E1BED2"/>
    <w:rsid w:val="66F7B869"/>
    <w:rsid w:val="67296F93"/>
    <w:rsid w:val="6AD001EB"/>
    <w:rsid w:val="6B9950D1"/>
    <w:rsid w:val="6BB5A5BE"/>
    <w:rsid w:val="6D4E4B1C"/>
    <w:rsid w:val="6DF53A25"/>
    <w:rsid w:val="6EFFAE43"/>
    <w:rsid w:val="6F7A1356"/>
    <w:rsid w:val="6F7EF841"/>
    <w:rsid w:val="71F751BD"/>
    <w:rsid w:val="74150344"/>
    <w:rsid w:val="7427FEDB"/>
    <w:rsid w:val="74750C93"/>
    <w:rsid w:val="74FB0DBB"/>
    <w:rsid w:val="75675828"/>
    <w:rsid w:val="779BAA7C"/>
    <w:rsid w:val="77EF9B71"/>
    <w:rsid w:val="7BEF1324"/>
    <w:rsid w:val="7C3D2CEC"/>
    <w:rsid w:val="7CBA2EE7"/>
    <w:rsid w:val="7CF941E4"/>
    <w:rsid w:val="7DDEA2B6"/>
    <w:rsid w:val="7DF3E72B"/>
    <w:rsid w:val="7E1CFA4F"/>
    <w:rsid w:val="7E7F11BF"/>
    <w:rsid w:val="7EDF443C"/>
    <w:rsid w:val="7F0D62D8"/>
    <w:rsid w:val="7F5D27BF"/>
    <w:rsid w:val="7F7D063F"/>
    <w:rsid w:val="7F7FBD4E"/>
    <w:rsid w:val="7FDFC824"/>
    <w:rsid w:val="7FE57C5B"/>
    <w:rsid w:val="7FE814C2"/>
    <w:rsid w:val="7FEC1B68"/>
    <w:rsid w:val="7FED7E86"/>
    <w:rsid w:val="7FEF5533"/>
    <w:rsid w:val="7FFF132D"/>
    <w:rsid w:val="7FFF2936"/>
    <w:rsid w:val="8EAB1E50"/>
    <w:rsid w:val="9FF261E3"/>
    <w:rsid w:val="A37B6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3C29082-0E53-4A3B-BD5C-AA776366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uiPriority="99"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HTML Preformatted"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line="240" w:lineRule="atLeast"/>
      <w:jc w:val="center"/>
      <w:outlineLvl w:val="1"/>
    </w:pPr>
    <w:rPr>
      <w:rFonts w:eastAsia="黑体"/>
      <w:b/>
      <w:bCs/>
      <w:sz w:val="32"/>
      <w:szCs w:val="32"/>
    </w:rPr>
  </w:style>
  <w:style w:type="paragraph" w:styleId="3">
    <w:name w:val="heading 3"/>
    <w:basedOn w:val="a"/>
    <w:next w:val="a"/>
    <w:uiPriority w:val="9"/>
    <w:qFormat/>
    <w:pPr>
      <w:spacing w:before="100" w:beforeAutospacing="1" w:after="100" w:afterAutospacing="1"/>
      <w:jc w:val="left"/>
      <w:outlineLvl w:val="2"/>
    </w:pPr>
    <w:rPr>
      <w:rFonts w:ascii="宋体" w:hAnsi="宋体" w:hint="eastAsia"/>
      <w:b/>
      <w:kern w:val="0"/>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qFormat/>
    <w:pPr>
      <w:widowControl/>
    </w:pPr>
    <w:rPr>
      <w:kern w:val="0"/>
    </w:rPr>
  </w:style>
  <w:style w:type="paragraph" w:styleId="a4">
    <w:name w:val="Body Text Indent"/>
    <w:basedOn w:val="a"/>
    <w:pPr>
      <w:spacing w:after="120"/>
      <w:ind w:leftChars="200" w:left="420"/>
    </w:pPr>
  </w:style>
  <w:style w:type="paragraph" w:styleId="a5">
    <w:name w:val="Plain Text"/>
    <w:basedOn w:val="a"/>
    <w:rPr>
      <w:rFonts w:ascii="宋体" w:hAnsi="Courier New"/>
      <w:szCs w:val="21"/>
    </w:rPr>
  </w:style>
  <w:style w:type="paragraph" w:styleId="a6">
    <w:name w:val="footer"/>
    <w:basedOn w:val="a"/>
    <w:pPr>
      <w:tabs>
        <w:tab w:val="center" w:pos="4153"/>
        <w:tab w:val="right" w:pos="8306"/>
      </w:tabs>
      <w:snapToGrid w:val="0"/>
      <w:jc w:val="left"/>
    </w:pPr>
    <w:rPr>
      <w:sz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qFormat/>
    <w:pPr>
      <w:spacing w:before="100" w:beforeAutospacing="1" w:after="100" w:afterAutospacing="1"/>
      <w:jc w:val="left"/>
    </w:pPr>
    <w:rPr>
      <w:rFonts w:ascii="Times New Roman" w:hAnsi="Times New Roman"/>
      <w:kern w:val="0"/>
      <w:sz w:val="24"/>
      <w:szCs w:val="24"/>
    </w:rPr>
  </w:style>
  <w:style w:type="paragraph" w:styleId="20">
    <w:name w:val="Body Text First Indent 2"/>
    <w:basedOn w:val="a4"/>
    <w:pPr>
      <w:ind w:firstLineChars="200" w:firstLine="420"/>
    </w:pPr>
  </w:style>
  <w:style w:type="table" w:styleId="a9">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uiPriority w:val="22"/>
    <w:qFormat/>
    <w:rPr>
      <w:b/>
      <w:bCs/>
    </w:rPr>
  </w:style>
  <w:style w:type="character" w:styleId="ab">
    <w:name w:val="page number"/>
  </w:style>
  <w:style w:type="character" w:customStyle="1" w:styleId="NormalCharacter">
    <w:name w:val="NormalCharacter"/>
    <w:semiHidden/>
    <w:qFormat/>
  </w:style>
  <w:style w:type="character" w:customStyle="1" w:styleId="maintitle">
    <w:name w:val="maintitle"/>
    <w:qFormat/>
  </w:style>
  <w:style w:type="character" w:customStyle="1" w:styleId="fontstyle01">
    <w:name w:val="fontstyle01"/>
    <w:qFormat/>
    <w:rPr>
      <w:rFonts w:ascii="仿宋" w:hAnsi="仿宋" w:hint="default"/>
      <w:color w:val="000000"/>
      <w:sz w:val="24"/>
      <w:szCs w:val="24"/>
    </w:rPr>
  </w:style>
  <w:style w:type="character" w:customStyle="1" w:styleId="21">
    <w:name w:val="樣式 內文2 + 標楷體 字元 字元"/>
    <w:qFormat/>
    <w:rPr>
      <w:rFonts w:ascii="DFKai-SB" w:eastAsia="DFKai-SB" w:hAnsi="DFKai-SB"/>
      <w:kern w:val="2"/>
      <w:sz w:val="28"/>
      <w:lang w:val="en-US" w:eastAsia="zh-TW" w:bidi="ar-SA"/>
    </w:rPr>
  </w:style>
  <w:style w:type="character" w:customStyle="1" w:styleId="editedhigh-light-bgordinary-span-edit">
    <w:name w:val="edited high-light-bg ordinary-span-edit"/>
    <w:qFormat/>
  </w:style>
  <w:style w:type="paragraph" w:customStyle="1" w:styleId="New">
    <w:name w:val="正文 New"/>
    <w:qFormat/>
    <w:pPr>
      <w:widowControl w:val="0"/>
      <w:spacing w:line="400" w:lineRule="exact"/>
      <w:ind w:left="11" w:right="11" w:firstLineChars="200" w:firstLine="200"/>
      <w:jc w:val="both"/>
    </w:pPr>
    <w:rPr>
      <w:rFonts w:ascii="Times New Roman" w:hAnsi="Times New Roman"/>
      <w:kern w:val="2"/>
      <w:sz w:val="21"/>
      <w:szCs w:val="24"/>
    </w:rPr>
  </w:style>
  <w:style w:type="paragraph" w:styleId="ac">
    <w:name w:val="No Spacing"/>
    <w:uiPriority w:val="1"/>
    <w:qFormat/>
    <w:pPr>
      <w:widowControl w:val="0"/>
      <w:jc w:val="both"/>
    </w:pPr>
    <w:rPr>
      <w:kern w:val="2"/>
      <w:sz w:val="21"/>
      <w:szCs w:val="22"/>
    </w:rPr>
  </w:style>
  <w:style w:type="paragraph" w:customStyle="1" w:styleId="10">
    <w:name w:val="列出段落1"/>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paragraph" w:customStyle="1" w:styleId="-11">
    <w:name w:val="彩色列表 - 强调文字颜色 11"/>
    <w:basedOn w:val="a"/>
    <w:uiPriority w:val="34"/>
    <w:qFormat/>
    <w:pPr>
      <w:ind w:firstLineChars="200" w:firstLine="420"/>
    </w:pPr>
    <w:rPr>
      <w:rFonts w:ascii="等线" w:eastAsia="等线" w:hAnsi="等线"/>
      <w:sz w:val="24"/>
    </w:rPr>
  </w:style>
  <w:style w:type="paragraph" w:customStyle="1" w:styleId="TableParagraph">
    <w:name w:val="Table Paragraph"/>
    <w:basedOn w:val="a"/>
    <w:uiPriority w:val="1"/>
    <w:qFormat/>
    <w:pPr>
      <w:autoSpaceDE w:val="0"/>
      <w:autoSpaceDN w:val="0"/>
      <w:adjustRightInd w:val="0"/>
      <w:jc w:val="left"/>
    </w:pPr>
    <w:rPr>
      <w:rFonts w:ascii="宋体" w:cs="宋体"/>
      <w:kern w:val="0"/>
      <w:sz w:val="24"/>
    </w:rPr>
  </w:style>
  <w:style w:type="paragraph" w:customStyle="1" w:styleId="11">
    <w:name w:val="列出段落1"/>
    <w:basedOn w:val="a"/>
    <w:qFormat/>
    <w:pPr>
      <w:ind w:firstLineChars="200" w:firstLine="420"/>
    </w:pPr>
  </w:style>
  <w:style w:type="paragraph" w:styleId="ad">
    <w:name w:val="List Paragraph"/>
    <w:basedOn w:val="a"/>
    <w:uiPriority w:val="34"/>
    <w:qFormat/>
    <w:pPr>
      <w:ind w:firstLineChars="200" w:firstLine="420"/>
    </w:pPr>
  </w:style>
  <w:style w:type="paragraph" w:styleId="HTML">
    <w:name w:val="HTML Preformatted"/>
    <w:basedOn w:val="a"/>
    <w:link w:val="HTMLChar"/>
    <w:uiPriority w:val="99"/>
    <w:unhideWhenUsed/>
    <w:rsid w:val="00605C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1"/>
    <w:link w:val="HTML"/>
    <w:uiPriority w:val="99"/>
    <w:rsid w:val="00605C7A"/>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136545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webSettings.xml" Type="http://schemas.openxmlformats.org/officeDocument/2006/relationships/webSettings"/><Relationship Id="rId4" Target="fontTable.xml" Type="http://schemas.openxmlformats.org/officeDocument/2006/relationships/fontTable"/><Relationship Id="rId5"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40</Words>
  <Characters>231</Characters>
  <Application>Microsoft Office Word</Application>
  <DocSecurity>0</DocSecurity>
  <Lines>1</Lines>
  <Paragraphs>1</Paragraphs>
  <ScaleCrop>false</ScaleCrop>
  <Company>fjedu</Company>
  <LinksUpToDate>false</LinksUpToDate>
  <CharactersWithSpaces>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2025-04-09T07:23:00Z</dcterms:created>
  <dc:creator>子不语</dc:creator>
  <cp:lastModifiedBy>佘育生</cp:lastModifiedBy>
  <cp:lastPrinted>2022-12-06T10:54:00Z</cp:lastPrinted>
  <dcterms:modified xsi:type="dcterms:W3CDTF">2025-04-09T09:17:00Z</dcterms:modified>
  <cp:revision>6</cp:revision>
  <dc:title>一、项目名称：多重环境压力下海洋酸化的生理生态影响及其食物链效应</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18970B87171442C9AE9E1D245ABB4D1C</vt:lpwstr>
  </property>
</Properties>
</file>