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2C8" w:rsidRDefault="00B902C8">
      <w:pPr>
        <w:autoSpaceDE w:val="0"/>
        <w:autoSpaceDN w:val="0"/>
        <w:adjustRightInd w:val="0"/>
        <w:rPr>
          <w:rFonts w:ascii="黑体" w:eastAsia="黑体" w:hAnsi="黑体" w:cs="黑体"/>
          <w:bCs/>
          <w:kern w:val="0"/>
          <w:sz w:val="32"/>
          <w:szCs w:val="32"/>
        </w:rPr>
      </w:pPr>
      <w:r>
        <w:rPr>
          <w:rFonts w:ascii="黑体" w:eastAsia="黑体" w:hAnsi="黑体" w:cs="黑体" w:hint="eastAsia"/>
          <w:bCs/>
          <w:kern w:val="0"/>
          <w:sz w:val="32"/>
          <w:szCs w:val="32"/>
        </w:rPr>
        <w:t>附件3</w:t>
      </w:r>
    </w:p>
    <w:p w:rsidR="00B902C8" w:rsidRDefault="000C7684">
      <w:pPr>
        <w:autoSpaceDE w:val="0"/>
        <w:autoSpaceDN w:val="0"/>
        <w:adjustRightInd w:val="0"/>
        <w:spacing w:line="760" w:lineRule="exact"/>
        <w:jc w:val="center"/>
        <w:rPr>
          <w:rFonts w:ascii="方正小标宋_GBK" w:eastAsia="方正小标宋_GBK" w:hAnsi="方正小标宋_GBK" w:cs="方正小标宋_GBK"/>
          <w:bCs/>
          <w:kern w:val="0"/>
          <w:sz w:val="44"/>
          <w:szCs w:val="44"/>
        </w:rPr>
      </w:pPr>
      <w:r>
        <w:rPr>
          <w:rFonts w:ascii="方正小标宋_GBK" w:eastAsia="方正小标宋_GBK" w:hAnsi="方正小标宋_GBK" w:cs="方正小标宋_GBK"/>
          <w:bCs/>
          <w:kern w:val="0"/>
          <w:sz w:val="44"/>
          <w:szCs w:val="44"/>
        </w:rPr>
        <w:t>2024</w:t>
      </w:r>
      <w:r w:rsidR="00B902C8">
        <w:rPr>
          <w:rFonts w:ascii="方正小标宋_GBK" w:eastAsia="方正小标宋_GBK" w:hAnsi="方正小标宋_GBK" w:cs="方正小标宋_GBK" w:hint="eastAsia"/>
          <w:bCs/>
          <w:kern w:val="0"/>
          <w:sz w:val="44"/>
          <w:szCs w:val="44"/>
        </w:rPr>
        <w:t>年度福建省科学技术奖</w:t>
      </w:r>
    </w:p>
    <w:p w:rsidR="00B902C8" w:rsidRDefault="00B902C8">
      <w:pPr>
        <w:autoSpaceDE w:val="0"/>
        <w:autoSpaceDN w:val="0"/>
        <w:adjustRightInd w:val="0"/>
        <w:spacing w:line="760" w:lineRule="exact"/>
        <w:jc w:val="center"/>
        <w:rPr>
          <w:rFonts w:ascii="方正小标宋_GBK" w:eastAsia="方正小标宋_GBK" w:hAnsi="方正小标宋_GBK" w:cs="方正小标宋_GBK"/>
          <w:b/>
          <w:kern w:val="0"/>
          <w:sz w:val="44"/>
          <w:szCs w:val="44"/>
        </w:rPr>
      </w:pPr>
      <w:r>
        <w:rPr>
          <w:rFonts w:ascii="方正小标宋_GBK" w:eastAsia="方正小标宋_GBK" w:hAnsi="方正小标宋_GBK" w:cs="方正小标宋_GBK" w:hint="eastAsia"/>
          <w:bCs/>
          <w:kern w:val="0"/>
          <w:sz w:val="44"/>
          <w:szCs w:val="44"/>
        </w:rPr>
        <w:t>提名项目（人选）公示内容</w:t>
      </w:r>
    </w:p>
    <w:p w:rsidR="00B902C8" w:rsidRDefault="00B902C8">
      <w:pPr>
        <w:autoSpaceDE w:val="0"/>
        <w:autoSpaceDN w:val="0"/>
        <w:adjustRightInd w:val="0"/>
        <w:rPr>
          <w:rFonts w:ascii="仿宋_GB2312" w:eastAsia="仿宋_GB2312" w:hAnsi="仿宋_GB2312" w:cs="仿宋_GB2312"/>
          <w:b/>
          <w:kern w:val="0"/>
          <w:sz w:val="28"/>
          <w:szCs w:val="28"/>
        </w:rPr>
      </w:pPr>
    </w:p>
    <w:p w:rsidR="00B902C8" w:rsidRDefault="00B902C8">
      <w:pPr>
        <w:autoSpaceDE w:val="0"/>
        <w:autoSpaceDN w:val="0"/>
        <w:adjustRightInd w:val="0"/>
        <w:spacing w:line="560" w:lineRule="exact"/>
        <w:rPr>
          <w:sz w:val="28"/>
          <w:szCs w:val="28"/>
          <w:lang w:val="en-GB"/>
        </w:rPr>
      </w:pPr>
      <w:bookmarkStart w:id="0" w:name="_GoBack"/>
      <w:bookmarkEnd w:id="0"/>
      <w:r>
        <w:rPr>
          <w:rFonts w:ascii="仿宋_GB2312" w:eastAsia="仿宋_GB2312" w:hAnsi="仿宋_GB2312" w:cs="仿宋_GB2312" w:hint="eastAsia"/>
          <w:b/>
          <w:kern w:val="0"/>
          <w:sz w:val="28"/>
          <w:szCs w:val="28"/>
        </w:rPr>
        <w:t>项目名称：</w:t>
      </w:r>
      <w:r w:rsidR="000C7684" w:rsidRPr="006F0B81">
        <w:rPr>
          <w:rFonts w:ascii="仿宋_GB2312" w:eastAsia="仿宋_GB2312" w:hAnsi="仿宋_GB2312" w:cs="仿宋_GB2312" w:hint="eastAsia"/>
          <w:kern w:val="0"/>
          <w:sz w:val="28"/>
          <w:szCs w:val="28"/>
        </w:rPr>
        <w:t>充电桩用高可靠磁保持继电器研发与产业化</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提名奖种：</w:t>
      </w:r>
      <w:r w:rsidR="000C7684" w:rsidRPr="006F0B81">
        <w:rPr>
          <w:rFonts w:ascii="仿宋_GB2312" w:eastAsia="仿宋_GB2312" w:hAnsi="仿宋_GB2312" w:cs="仿宋_GB2312"/>
          <w:kern w:val="0"/>
          <w:sz w:val="28"/>
          <w:szCs w:val="28"/>
        </w:rPr>
        <w:t>科学技术进步奖</w:t>
      </w:r>
    </w:p>
    <w:p w:rsidR="00B902C8" w:rsidRDefault="00B902C8" w:rsidP="00605C7A">
      <w:pPr>
        <w:pStyle w:val="HTML"/>
        <w:shd w:val="clear" w:color="auto" w:fill="FFFFFF"/>
        <w:rPr>
          <w:rFonts w:ascii="仿宋_GB2312" w:eastAsia="仿宋_GB2312" w:hAnsi="仿宋_GB2312" w:cs="仿宋_GB2312"/>
          <w:b/>
          <w:sz w:val="28"/>
          <w:szCs w:val="28"/>
        </w:rPr>
      </w:pPr>
      <w:r>
        <w:rPr>
          <w:rFonts w:ascii="仿宋_GB2312" w:eastAsia="仿宋_GB2312" w:hAnsi="仿宋_GB2312" w:cs="仿宋_GB2312" w:hint="eastAsia"/>
          <w:b/>
          <w:sz w:val="28"/>
          <w:szCs w:val="28"/>
        </w:rPr>
        <w:t>提名单位：</w:t>
      </w:r>
      <w:r w:rsidR="000C7684" w:rsidRPr="006F0B81">
        <w:rPr>
          <w:rFonts w:ascii="仿宋_GB2312" w:eastAsia="仿宋_GB2312" w:hAnsi="仿宋_GB2312" w:cs="仿宋_GB2312" w:hint="eastAsia"/>
          <w:sz w:val="28"/>
          <w:szCs w:val="28"/>
        </w:rPr>
        <w:t>厦门市科学技术局</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项目简介：</w:t>
      </w:r>
      <w:r>
        <w:br/>
      </w:r>
      <w:r w:rsidR="00CC3516" w:rsidRPr="006F0B81">
        <w:rPr>
          <w:rFonts w:ascii="仿宋_GB2312" w:eastAsia="仿宋_GB2312" w:hAnsi="仿宋_GB2312" w:cs="仿宋_GB2312" w:hint="eastAsia"/>
          <w:kern w:val="0"/>
          <w:sz w:val="28"/>
          <w:szCs w:val="28"/>
        </w:rPr>
        <w:t xml:space="preserve">　　充电桩作为新能源汽车发展的重要基础设施，通过物联网、大数据和人工智能技术，实现了对充电过程的实时监控、智能调度和优化管理，提高了充电的便捷性和效率。随着新能源市场的不断扩大和充电需求增加，充电桩市场将呈现规模化发展趋势，实现更广泛的互联互通，形成覆盖全国的充电网络。</w:t>
        <w:cr/>
        <w:t/>
        <w:cr/>
        <w:t xml:space="preserve">　　磁保持继电器在充电桩系统中起着控制电源分配、转换和故障保护、安全监测关键作用，要求具备短路安全、耐久可靠、低阻低温、高效低耗等性能来应对充电桩系统应用模块因过热、短路导致起火、燃烧等安全难题。针对上述问题，采用了抗短路电流、感性电气寿命、低阻低热、低耗节能技术，并取得重大突破，创新点如下：</w:t>
        <w:cr/>
        <w:t/>
        <w:cr/>
        <w:t xml:space="preserve">　　1、揭示了可分合电接触短路电动稳定性的机理，创新开发了高安全可靠的单H～双C抗短路电流技术。设计了两组平行的单H～双C双柔、左右并联接触的极简小间距簧片结构，产品体积减小12%，铜耗节省44%，实现了小体积安全可靠，解决了充电桩异常短路导致的起火、燃烧及爆炸难题。</w:t>
        <w:cr/>
        <w:t/>
        <w:cr/>
        <w:t xml:space="preserve">　　2、突破了大负载、长寿命的速动缓断聚弧分断技术，阐明了交流感性负载小间隙控弧、过零熄弧的开关机理。设计了机电分离的极简双级减振压簧机构，解决了动簧系统疲劳失压、回弹回跳电弧喷溅、绝缘下降导致的触头粘接、过热甚至着火等难题，实现了速动聚弧、缓断控弧、稳定熄弧控制技术，提升了频繁充放电的使用寿命。</w:t>
        <w:cr/>
        <w:t/>
        <w:cr/>
        <w:t xml:space="preserve">　　3、探究了电接触发热原理，集成创新了高载流、低温升的H型～n+1并联低回路阻抗技术。设计了单簧纵向+H型横向复合并联的平行动簧组件结构，实现满载发热低于20K的设计目标，解决了小体积、高负荷应用下过热难题，满足了充电桩连续工作制下低热、安全、节能的需求。</w:t>
        <w:cr/>
        <w:t/>
        <w:cr/>
        <w:t xml:space="preserve">　　4、开发了高效率低能耗的磁传导技术。设计了相互交错咬颌式工字型磁回路结构，构建了旋转式四气隙低磁阻通道，解决了磁回路工作气隙磁阻大、效率低技术瓶颈，提升了20%磁传导效率，降低了14%驱动能耗，满足了充电桩系统快速响应、节能低耗的工况需求。</w:t>
        <w:cr/>
        <w:t/>
        <w:cr/>
        <w:t xml:space="preserve">　　该项目授权专利55项，其中发明专利国外11项、国内8项，实用新型34项，外观设计2项。产品已成功配套Tesla、Enphase、SPAN、Itron、Sagem等国际知名企业，并成为国内许继、阳光电源、艾罗网络、固德威、林洋、威胜等厂家首选，打破了国外高导电铜合金、高端触头材料的技术封锁与市场垄断，成功实现了国产化替代、核心材料国产化。近三年销售收入21.8亿元，净利润1.86亿元，税收1.03亿元。公司建立厦门海沧区10万平全产业链生产基地，引进高精尖模具、自主研制智能化产线，打造核心零部件自主配套；掌握核心技术、先进管理理念，同时引进高技术人才，建立产研中心、博士后工作站，在核心技术上取得重大突破并实现大规模产业化。该成果大幅提升了自主创新和生产制造工艺水平，具有重大经济和社会效益。填补了国内技术空白，获得了全球客户高度认可，性能指标达国际领先水平。</w:t>
        <w:cr/>
        <w:t/>
        <w:cr/>
        <w:t xml:space="preserve">　　</w:t>
      </w:r>
      <w:r>
        <w:br/>
      </w:r>
    </w:p>
    <w:p w:rsidR="00B902C8" w:rsidRDefault="00B902C8">
      <w:pPr>
        <w:autoSpaceDE w:val="0"/>
        <w:autoSpaceDN w:val="0"/>
        <w:adjustRightInd w:val="0"/>
        <w:spacing w:line="560" w:lineRule="exact"/>
      </w:pPr>
      <w:r>
        <w:rPr>
          <w:rFonts w:ascii="仿宋_GB2312" w:eastAsia="仿宋_GB2312" w:hAnsi="仿宋_GB2312" w:cs="仿宋_GB2312" w:hint="eastAsia"/>
          <w:b/>
          <w:kern w:val="0"/>
          <w:sz w:val="28"/>
          <w:szCs w:val="28"/>
        </w:rPr>
        <w:t>主要完成单位：</w:t>
      </w:r>
      <w:r>
        <w:br/>
      </w:r>
      <w:r w:rsidR="002B3E42" w:rsidRPr="006F0B81">
        <w:rPr>
          <w:rFonts w:ascii="仿宋_GB2312" w:eastAsia="仿宋_GB2312" w:hAnsi="仿宋_GB2312" w:cs="仿宋_GB2312" w:hint="eastAsia"/>
          <w:kern w:val="0"/>
          <w:sz w:val="28"/>
          <w:szCs w:val="28"/>
        </w:rPr>
        <w:t>1.厦门宏发电力电器有限公司;</w:t>
        <w:cr/>
        <w:t>2.华侨大学</w:t>
      </w:r>
      <w:r>
        <w:br/>
      </w:r>
    </w:p>
    <w:p w:rsidR="00B902C8" w:rsidRDefault="00B902C8">
      <w:pPr>
        <w:autoSpaceDE w:val="0"/>
        <w:autoSpaceDN w:val="0"/>
        <w:adjustRightInd w:val="0"/>
        <w:spacing w:line="560" w:lineRule="exact"/>
      </w:pPr>
      <w:r>
        <w:rPr>
          <w:rFonts w:ascii="仿宋_GB2312" w:eastAsia="仿宋_GB2312" w:hAnsi="仿宋_GB2312" w:cs="仿宋_GB2312" w:hint="eastAsia"/>
          <w:b/>
          <w:color w:val="000000"/>
          <w:kern w:val="0"/>
          <w:sz w:val="28"/>
          <w:szCs w:val="28"/>
        </w:rPr>
        <w:t xml:space="preserve">主要完成人及其贡献： </w:t>
      </w:r>
      <w:r>
        <w:br/>
      </w:r>
      <w:r w:rsidR="002B3E42" w:rsidRPr="006F0B81">
        <w:rPr>
          <w:rFonts w:ascii="仿宋_GB2312" w:eastAsia="仿宋_GB2312" w:hAnsi="仿宋_GB2312" w:cs="仿宋_GB2312"/>
          <w:color w:val="000000"/>
          <w:kern w:val="0"/>
          <w:sz w:val="28"/>
          <w:szCs w:val="28"/>
        </w:rPr>
        <w:t>1、代文广：</w:t>
        <w:cr/>
        <w:t>项目产品主设计师，负责项目产品的实际设计，并组织项目团队对产品设计技术的攻关，在创新点1、创新点2、创新点3、创新点4中做出贡献，是本项目51项专利发明人，是项目论文1的第一作者。</w:t>
        <w:cr/>
        <w:t>2、周广涛：</w:t>
        <w:cr/>
        <w:t>负责单H～双C极简小间隙簧片结构模型，通过仿真研究该簧片结构、尺寸参数和抗短路效果之间的关联，温度场分析，局部结构与化设计，并且研究高功率密度的激光来熔化铜基片材模拟触头在高电弧热作用下的熔化行为，揭示铜基材料在极端高温下的粘接动力学机制项目。是项目论文2的第一作者。</w:t>
        <w:cr/>
        <w:t>3、苏礼季：</w:t>
        <w:cr/>
        <w:t>负责对项目产品在高抗短路、高效磁路、结构低应力耐疲劳、强抗磁干扰及低温升等核心性能与关键共性技术上结合理论-仿真-试验构建理论/仿真/设计/优化/失效分析等模型，基于原理识别要素及其影响的定性与定量分析研究，从科学角度确保产品研发/开发方向正确性、设计合理性/最优性、性能符合性以及技术创新性与落地性，大大缩短了产品研发/开发周期、提升产品设计一次成功率及实验一次合格率。是本项目2项专利的发明人。</w:t>
        <w:cr/>
        <w:t>4、钟叔明：</w:t>
        <w:cr/>
        <w:t>项目研发负责人，产品总设计师，负责产品系列规划、整体方案构想等技术工作；在创新点1、创新点2、创新点3、创新点4中做出贡献；是本项目43项专利的发明人。</w:t>
        <w:cr/>
        <w:t>5、李方能：</w:t>
        <w:cr/>
        <w:t>项目组核心设计师，参与项目前期策划，方案设计，方案评审，负责成套技术图纸出图，是本项目23项专利发明人。</w:t>
        <w:cr/>
        <w:t>6、殷剑锋：</w:t>
        <w:cr/>
        <w:t>项目组核心设计师，参与项目前期策划，方案设计，方案评审，负责成套技术图纸出图，是本项目3项专利发明人。</w:t>
        <w:cr/>
        <w:t>7、何仲波：</w:t>
        <w:cr/>
        <w:t>项目组核心设计师，参与项目前期策划，方案设计，方案评审，负责成套技术图纸出图，是本项目16项专利发明人。</w:t>
        <w:cr/>
        <w:t>8、张杰郎：</w:t>
        <w:cr/>
        <w:t>项目设计师，负责对项目产品的优化和改进实现结构的可制造性和经济性，是本项目3项专利发明人。</w:t>
        <w:cr/>
        <w:t>9、王寅：</w:t>
        <w:cr/>
        <w:t>在磁保持继电器的磁吸间隙设计与单H双C型结构创新中提供理论支持。提出磁吸间隙动态调节理论，建立单H双C型结构设计准则，突破传统磁路耦合技术瓶颈。提供构件产品的零件尺寸链及每个环的公差带尺寸的理论依据，对尺寸链及装配的公差进行优化计算。研究成果显著提高磁保持继电器可靠性与服役性能，为其技术发展提供重要理论依据和技术储备。</w:t>
        <w:cr/>
        <w:t>10、纪代锋：</w:t>
        <w:cr/>
        <w:t>负责主持工艺设计工作，是项目产品工艺设计师；编制过程控制文件，指导操作人员，生产线工艺布局组建及流程完善，完成初期样品装配和调试到产品批量生产的过程监控，参与产品零部件改进方案提出，装配方式优化、生产设备的方案布置，完成装配工装的使用及改进评价。</w:t>
        <w:cr/>
        <w:t/>
      </w:r>
      <w:r>
        <w:br/>
      </w:r>
    </w:p>
    <w:p w:rsidR="00B902C8" w:rsidRPr="006F0B81" w:rsidRDefault="00B902C8" w:rsidP="006F0B81">
      <w:pPr>
        <w:pStyle w:val="a0"/>
        <w:spacing w:line="560" w:lineRule="exact"/>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主要知识产权目录：</w:t>
      </w:r>
      <w:r>
        <w:br/>
      </w:r>
      <w:r w:rsidR="003C02FA">
        <w:rPr>
          <w:rFonts w:ascii="Times New Roman" w:eastAsia="仿宋" w:hAnsi="仿宋" w:hint="eastAsia"/>
          <w:i/>
          <w:spacing w:val="-10"/>
          <w:sz w:val="28"/>
          <w:szCs w:val="28"/>
        </w:rPr>
        <w:t>1、发明专利 / MAGNETIC LATCHING RELAY CAPABLE OF RESISTING SHORT-CIRCUIT CURRENT (一种能够抵抗短路电流的磁保持继电器) / EP3608938 / 英国 / 1 : 厦门宏发电力电器有限公司 / 1 : 钟叔明,2 : 代文广 / 有效</w:t>
        <w:cr/>
        <w:t>2、发明专利 / 一种能够抵抗短路电流的磁保持继电器 / ZL201710213323.2 / 中国 / 1 : 厦门宏发电力电器有限公司 / 1 : 钟叔明,2 : 代文广,3 : 郑增光 / 有效</w:t>
        <w:cr/>
        <w:t>3、发明专利 / 一种带反力簧片的磁保持继电器 / ZL201510211951.8 / 中国 / 1 : 厦门宏发电力电器有限公司 / 1 : 钟叔明,2 : 代文广 / 有效</w:t>
        <w:cr/>
        <w:t>4、发明专利 / 一种可降低触点断开抖动的电磁继电器 / ZL201910919055.5 / 中国 / 1 : 厦门宏发电力电器有限公司 / 1 : 何仲波,2 : 钟叔明,3 : 代文广 / 有效</w:t>
        <w:cr/>
        <w:t>5、发明专利 / Movable？springs and relays for relays that can reduce？temperature？rise / JP7594119B2 / 日本 / 1 : 厦门宏发电力电器有限公司 / 1 : 钟叔明,2 : 代文广,3 : 李方能,4 : 廖国进 / 有效</w:t>
        <w:cr/>
        <w:t>6、实用新型 / 簧片结构及磁保持继电器 / ZL202321212238.1 / 中国 / 1 : 厦门宏发电力电器有限公司 / 1 : 钟叔明,2 : 代文广,3 : 李方能,4 : 廖国进 / 有效</w:t>
        <w:cr/>
        <w:t>7、实用新型 / 一种磁保持继电器 / ZL202021176433.X / 中国 / 1 : 厦门宏发电力电器有限公司 / 1 : 钟叔明,2 : 代文广,3 : 何仲波,4 : 李方能,5 : 郑增光 / 有效</w:t>
        <w:cr/>
        <w:t>8、实用新型 / 可降低温升的继电器动簧及继电器 / ZL202023023996.8 / 中国 / 1 : 厦门宏发电力电器有限公司 / 1 : 钟叔明,2 : 代文广,3 : 李方能,4 : 廖国进 / 有效</w:t>
        <w:cr/>
        <w:t>9、实用新型 / 一种磁保持继电器 / ZL202220707167.1 / 中国 / 1 : 厦门宏发电力电器有限公司 / 1 : 钟叔明,2 : 代文广,3 : 李方能,4 : 郑增光 / 有效</w:t>
        <w:cr/>
        <w:t>10、实用新型 / 一种继电器的磁路系统和磁保持继电器 / ZL202222791191.0 / 中国 / 1 : 厦门宏发电力电器有限公司 / 1 : 钟叔明,2 : 代文广,3 : 李方能,4 : 郑增光 / 有效</w:t>
        <w:cr/>
        <w:t/>
      </w:r>
    </w:p>
    <w:p w:rsidR="00B902C8" w:rsidRDefault="00A952D0" w:rsidP="006F0B81">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代表性论文专著目录：</w:t>
      </w:r>
      <w:r>
        <w:br/>
      </w:r>
      <w:r w:rsidR="003C02FA">
        <w:rPr>
          <w:rFonts w:ascii="Times New Roman" w:eastAsia="仿宋" w:hAnsi="仿宋" w:hint="eastAsia"/>
          <w:i/>
          <w:spacing w:val="-10"/>
          <w:sz w:val="28"/>
          <w:szCs w:val="28"/>
        </w:rPr>
        <w:t>1、机械工程材料 / 压力容器碟形封头焊接结构应力数值计算及安全评定 / 0.704 / 2023年,47卷,93-97 / 2023-12-01 / 其他 / 1 / 第一作者：1/代文广;作者：2/周广涛,3/余作恒;</w:t>
        <w:cr/>
        <w:t>2、焊接学报 / 纳秒激光直写表面辅助下紫铜的激光焊成形及接头组织和性能 / 1.415 / 2023年，44卷，21-29+130-131 / 2023-04-01 / EI收录 / 1 / 第一作者：1/周广涛;作者：2/邝景臻,3/温秋玲,4/蔡祖鹏,5/苏礼季;</w:t>
        <w:cr/>
        <w:t>3、Actuators / Piezoelectric Linear Motors with Alternating Action for Motion Servo System of Probe Station / 2.200 / 2024年，13卷，288 / 2024-07-01 / SCI收录 / 0 / 第一作者：1/Lin Huang;作者：2/Yin Wang,3/Fang Cheng,4/Qing Yu,5/Weiqing Huang;</w:t>
        <w:cr/>
        <w:t>4、Review of Scientific Instruments / Non-resonant piezoelectric linear motor with alternating normal contact force / 1.300 / 2022年，93卷，025007 / 2022-02-01 / SCI收录 / 3 / 第一作者：1/Wang Yin;作者：2/Yang Cheng,3/Cui Changcai;</w:t>
        <w:cr/>
        <w:t/>
      </w:r>
    </w:p>
    <w:p w:rsidR="00B902C8" w:rsidRDefault="00A952D0">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其他支撑材料目录：</w:t>
      </w:r>
      <w:r>
        <w:br/>
      </w:r>
      <w:r w:rsidR="003C02FA" w:rsidRPr="003C02FA">
        <w:rPr>
          <w:rFonts w:ascii="仿宋_GB2312" w:eastAsia="仿宋_GB2312" w:hAnsi="仿宋_GB2312" w:cs="仿宋_GB2312" w:hint="eastAsia"/>
          <w:i/>
          <w:color w:val="000000"/>
          <w:sz w:val="28"/>
          <w:szCs w:val="28"/>
        </w:rPr>
        <w:t>1、其他相关资料 / 合作关系证明---产学研合同 / 厦门宏发电力电器有限公司</w:t>
        <w:cr/>
        <w:t/>
      </w:r>
    </w:p>
    <w:p w:rsidR="00B902C8" w:rsidRDefault="00B902C8">
      <w:pPr>
        <w:pStyle w:val="a0"/>
        <w:spacing w:line="460" w:lineRule="exact"/>
      </w:pPr>
    </w:p>
    <w:sectPr w:rsidR="00B902C8">
      <w:pgSz w:w="11906" w:h="16838"/>
      <w:pgMar w:top="1440" w:right="1531" w:bottom="1440" w:left="153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DFKai-SB">
    <w:panose1 w:val="03000509000000000000"/>
    <w:charset w:val="88"/>
    <w:family w:val="script"/>
    <w:pitch w:val="fixed"/>
    <w:sig w:usb0="00000003" w:usb1="080E0000" w:usb2="00000016" w:usb3="00000000" w:csb0="00100001" w:csb1="00000000"/>
  </w:font>
  <w:font w:name="等线">
    <w:altName w:val="宋体"/>
    <w:charset w:val="00"/>
    <w:family w:val="auto"/>
    <w:pitch w:val="default"/>
    <w:sig w:usb0="A00002BF" w:usb1="38CF7CFA" w:usb2="00000016" w:usb3="00000000" w:csb0="0004000F"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8A"/>
    <w:rsid w:val="AFFF1036"/>
    <w:rsid w:val="B0FF0AF3"/>
    <w:rsid w:val="BAEB1801"/>
    <w:rsid w:val="BC3901AA"/>
    <w:rsid w:val="BEFF410A"/>
    <w:rsid w:val="BFBFAD73"/>
    <w:rsid w:val="BFE6E07C"/>
    <w:rsid w:val="BFF713D3"/>
    <w:rsid w:val="D0BC8F88"/>
    <w:rsid w:val="D37F5E11"/>
    <w:rsid w:val="DB5FBB05"/>
    <w:rsid w:val="DBBD2366"/>
    <w:rsid w:val="DEEB7153"/>
    <w:rsid w:val="DFE651AC"/>
    <w:rsid w:val="DFFE580B"/>
    <w:rsid w:val="EA7675D9"/>
    <w:rsid w:val="EBF203DC"/>
    <w:rsid w:val="F69E2856"/>
    <w:rsid w:val="F77A5A86"/>
    <w:rsid w:val="F77E019F"/>
    <w:rsid w:val="F78F1353"/>
    <w:rsid w:val="F7DFA45D"/>
    <w:rsid w:val="F7F3A5C8"/>
    <w:rsid w:val="F7F94813"/>
    <w:rsid w:val="F7FDA781"/>
    <w:rsid w:val="F9BB75D0"/>
    <w:rsid w:val="F9D72B76"/>
    <w:rsid w:val="F9DFCBB1"/>
    <w:rsid w:val="FADF2405"/>
    <w:rsid w:val="FBFBF095"/>
    <w:rsid w:val="FDBE145C"/>
    <w:rsid w:val="FE5B22E9"/>
    <w:rsid w:val="FEDF27EC"/>
    <w:rsid w:val="FEE34138"/>
    <w:rsid w:val="FEFA3668"/>
    <w:rsid w:val="FEFDFF83"/>
    <w:rsid w:val="FF2D6546"/>
    <w:rsid w:val="FF5E1330"/>
    <w:rsid w:val="FFBED067"/>
    <w:rsid w:val="FFCFEE87"/>
    <w:rsid w:val="FFDBC0ED"/>
    <w:rsid w:val="FFE23263"/>
    <w:rsid w:val="000C7684"/>
    <w:rsid w:val="00145239"/>
    <w:rsid w:val="002B3E42"/>
    <w:rsid w:val="003C02FA"/>
    <w:rsid w:val="004327AC"/>
    <w:rsid w:val="005A48E0"/>
    <w:rsid w:val="00605C7A"/>
    <w:rsid w:val="006F0B81"/>
    <w:rsid w:val="00826C08"/>
    <w:rsid w:val="00953E62"/>
    <w:rsid w:val="00A6617F"/>
    <w:rsid w:val="00A952D0"/>
    <w:rsid w:val="00B81E56"/>
    <w:rsid w:val="00B902C8"/>
    <w:rsid w:val="00C5788F"/>
    <w:rsid w:val="00CB29D8"/>
    <w:rsid w:val="00CC3516"/>
    <w:rsid w:val="00DB30F0"/>
    <w:rsid w:val="00E8268A"/>
    <w:rsid w:val="00E82D8E"/>
    <w:rsid w:val="00EC4B76"/>
    <w:rsid w:val="00F16FF3"/>
    <w:rsid w:val="00FB6CEF"/>
    <w:rsid w:val="01353326"/>
    <w:rsid w:val="087301A8"/>
    <w:rsid w:val="0CE25FEA"/>
    <w:rsid w:val="0DFFC512"/>
    <w:rsid w:val="0E690251"/>
    <w:rsid w:val="0FA5C748"/>
    <w:rsid w:val="105C6E7E"/>
    <w:rsid w:val="122D39E8"/>
    <w:rsid w:val="12546A46"/>
    <w:rsid w:val="178A1437"/>
    <w:rsid w:val="18E7726B"/>
    <w:rsid w:val="19B4EFEA"/>
    <w:rsid w:val="1D4420C4"/>
    <w:rsid w:val="1D684C2C"/>
    <w:rsid w:val="1FDF3D04"/>
    <w:rsid w:val="227B094B"/>
    <w:rsid w:val="22EC5952"/>
    <w:rsid w:val="23BF75D4"/>
    <w:rsid w:val="26C61434"/>
    <w:rsid w:val="27FFDB3C"/>
    <w:rsid w:val="28587F45"/>
    <w:rsid w:val="28F00BDD"/>
    <w:rsid w:val="2ECFD048"/>
    <w:rsid w:val="2FD7C272"/>
    <w:rsid w:val="2FF1B6AA"/>
    <w:rsid w:val="366A57CF"/>
    <w:rsid w:val="367A4492"/>
    <w:rsid w:val="373B1EE8"/>
    <w:rsid w:val="377E6FC7"/>
    <w:rsid w:val="3CFD7FF6"/>
    <w:rsid w:val="3D4F5C8D"/>
    <w:rsid w:val="3DD53D74"/>
    <w:rsid w:val="3E77C343"/>
    <w:rsid w:val="3EA82B1F"/>
    <w:rsid w:val="3F3275D4"/>
    <w:rsid w:val="3FFFAA8E"/>
    <w:rsid w:val="40270EE3"/>
    <w:rsid w:val="423B5529"/>
    <w:rsid w:val="457D5BD4"/>
    <w:rsid w:val="47762A53"/>
    <w:rsid w:val="47DB1F37"/>
    <w:rsid w:val="47F6139A"/>
    <w:rsid w:val="4D875F5D"/>
    <w:rsid w:val="4E386EB3"/>
    <w:rsid w:val="4E98EDDB"/>
    <w:rsid w:val="4FE72A34"/>
    <w:rsid w:val="4FFF1ECF"/>
    <w:rsid w:val="515845F1"/>
    <w:rsid w:val="51F7FF9C"/>
    <w:rsid w:val="55EF58DF"/>
    <w:rsid w:val="59177E55"/>
    <w:rsid w:val="5BAF69BF"/>
    <w:rsid w:val="5BAFD007"/>
    <w:rsid w:val="5BEFDE6F"/>
    <w:rsid w:val="5BFF24C2"/>
    <w:rsid w:val="5CA27395"/>
    <w:rsid w:val="5E7B2339"/>
    <w:rsid w:val="5F73DBE5"/>
    <w:rsid w:val="5FBD6EA0"/>
    <w:rsid w:val="5FDE12D6"/>
    <w:rsid w:val="5FF98BF0"/>
    <w:rsid w:val="61806DD8"/>
    <w:rsid w:val="631A287D"/>
    <w:rsid w:val="644A5221"/>
    <w:rsid w:val="64D05500"/>
    <w:rsid w:val="65252288"/>
    <w:rsid w:val="65E1BED2"/>
    <w:rsid w:val="66F7B869"/>
    <w:rsid w:val="67296F93"/>
    <w:rsid w:val="6AD001EB"/>
    <w:rsid w:val="6B9950D1"/>
    <w:rsid w:val="6BB5A5BE"/>
    <w:rsid w:val="6D4E4B1C"/>
    <w:rsid w:val="6DF53A25"/>
    <w:rsid w:val="6EFFAE43"/>
    <w:rsid w:val="6F7A1356"/>
    <w:rsid w:val="6F7EF841"/>
    <w:rsid w:val="71F751BD"/>
    <w:rsid w:val="74150344"/>
    <w:rsid w:val="7427FEDB"/>
    <w:rsid w:val="74750C93"/>
    <w:rsid w:val="74FB0DBB"/>
    <w:rsid w:val="75675828"/>
    <w:rsid w:val="779BAA7C"/>
    <w:rsid w:val="77EF9B71"/>
    <w:rsid w:val="7BEF1324"/>
    <w:rsid w:val="7C3D2CEC"/>
    <w:rsid w:val="7CBA2EE7"/>
    <w:rsid w:val="7CF941E4"/>
    <w:rsid w:val="7DDEA2B6"/>
    <w:rsid w:val="7DF3E72B"/>
    <w:rsid w:val="7E1CFA4F"/>
    <w:rsid w:val="7E7F11BF"/>
    <w:rsid w:val="7EDF443C"/>
    <w:rsid w:val="7F0D62D8"/>
    <w:rsid w:val="7F5D27BF"/>
    <w:rsid w:val="7F7D063F"/>
    <w:rsid w:val="7F7FBD4E"/>
    <w:rsid w:val="7FDFC824"/>
    <w:rsid w:val="7FE57C5B"/>
    <w:rsid w:val="7FE814C2"/>
    <w:rsid w:val="7FEC1B68"/>
    <w:rsid w:val="7FED7E86"/>
    <w:rsid w:val="7FEF5533"/>
    <w:rsid w:val="7FFF132D"/>
    <w:rsid w:val="7FFF2936"/>
    <w:rsid w:val="8EAB1E50"/>
    <w:rsid w:val="9FF261E3"/>
    <w:rsid w:val="A37B6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C29082-0E53-4A3B-BD5C-AA776366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line="240" w:lineRule="atLeast"/>
      <w:jc w:val="center"/>
      <w:outlineLvl w:val="1"/>
    </w:pPr>
    <w:rPr>
      <w:rFonts w:eastAsia="黑体"/>
      <w:b/>
      <w:bCs/>
      <w:sz w:val="32"/>
      <w:szCs w:val="32"/>
    </w:rPr>
  </w:style>
  <w:style w:type="paragraph" w:styleId="3">
    <w:name w:val="heading 3"/>
    <w:basedOn w:val="a"/>
    <w:next w:val="a"/>
    <w:uiPriority w:val="9"/>
    <w:qFormat/>
    <w:pPr>
      <w:spacing w:before="100" w:beforeAutospacing="1" w:after="100" w:afterAutospacing="1"/>
      <w:jc w:val="left"/>
      <w:outlineLvl w:val="2"/>
    </w:pPr>
    <w:rPr>
      <w:rFonts w:ascii="宋体" w:hAnsi="宋体"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widowControl/>
    </w:pPr>
    <w:rPr>
      <w:kern w:val="0"/>
    </w:rPr>
  </w:style>
  <w:style w:type="paragraph" w:styleId="a4">
    <w:name w:val="Body Text Indent"/>
    <w:basedOn w:val="a"/>
    <w:pPr>
      <w:spacing w:after="120"/>
      <w:ind w:leftChars="200" w:left="420"/>
    </w:pPr>
  </w:style>
  <w:style w:type="paragraph" w:styleId="a5">
    <w:name w:val="Plain Text"/>
    <w:basedOn w:val="a"/>
    <w:rPr>
      <w:rFonts w:ascii="宋体" w:hAnsi="Courier New"/>
      <w:szCs w:val="21"/>
    </w:rPr>
  </w:style>
  <w:style w:type="paragraph" w:styleId="a6">
    <w:name w:val="footer"/>
    <w:basedOn w:val="a"/>
    <w:pPr>
      <w:tabs>
        <w:tab w:val="center" w:pos="4153"/>
        <w:tab w:val="right" w:pos="8306"/>
      </w:tabs>
      <w:snapToGrid w:val="0"/>
      <w:jc w:val="left"/>
    </w:pPr>
    <w:rPr>
      <w:sz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spacing w:before="100" w:beforeAutospacing="1" w:after="100" w:afterAutospacing="1"/>
      <w:jc w:val="left"/>
    </w:pPr>
    <w:rPr>
      <w:rFonts w:ascii="Times New Roman" w:hAnsi="Times New Roman"/>
      <w:kern w:val="0"/>
      <w:sz w:val="24"/>
      <w:szCs w:val="24"/>
    </w:rPr>
  </w:style>
  <w:style w:type="paragraph" w:styleId="20">
    <w:name w:val="Body Text First Indent 2"/>
    <w:basedOn w:val="a4"/>
    <w:pPr>
      <w:ind w:firstLineChars="200" w:firstLine="420"/>
    </w:pPr>
  </w:style>
  <w:style w:type="table" w:styleId="a9">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styleId="ab">
    <w:name w:val="page number"/>
  </w:style>
  <w:style w:type="character" w:customStyle="1" w:styleId="NormalCharacter">
    <w:name w:val="NormalCharacter"/>
    <w:semiHidden/>
    <w:qFormat/>
  </w:style>
  <w:style w:type="character" w:customStyle="1" w:styleId="maintitle">
    <w:name w:val="maintitle"/>
    <w:qFormat/>
  </w:style>
  <w:style w:type="character" w:customStyle="1" w:styleId="fontstyle01">
    <w:name w:val="fontstyle01"/>
    <w:qFormat/>
    <w:rPr>
      <w:rFonts w:ascii="仿宋" w:hAnsi="仿宋" w:hint="default"/>
      <w:color w:val="000000"/>
      <w:sz w:val="24"/>
      <w:szCs w:val="24"/>
    </w:rPr>
  </w:style>
  <w:style w:type="character" w:customStyle="1" w:styleId="21">
    <w:name w:val="樣式 內文2 + 標楷體 字元 字元"/>
    <w:qFormat/>
    <w:rPr>
      <w:rFonts w:ascii="DFKai-SB" w:eastAsia="DFKai-SB" w:hAnsi="DFKai-SB"/>
      <w:kern w:val="2"/>
      <w:sz w:val="28"/>
      <w:lang w:val="en-US" w:eastAsia="zh-TW" w:bidi="ar-SA"/>
    </w:rPr>
  </w:style>
  <w:style w:type="character" w:customStyle="1" w:styleId="editedhigh-light-bgordinary-span-edit">
    <w:name w:val="edited high-light-bg ordinary-span-edit"/>
    <w:qFormat/>
  </w:style>
  <w:style w:type="paragraph" w:customStyle="1" w:styleId="New">
    <w:name w:val="正文 New"/>
    <w:qFormat/>
    <w:pPr>
      <w:widowControl w:val="0"/>
      <w:spacing w:line="400" w:lineRule="exact"/>
      <w:ind w:left="11" w:right="11" w:firstLineChars="200" w:firstLine="200"/>
      <w:jc w:val="both"/>
    </w:pPr>
    <w:rPr>
      <w:rFonts w:ascii="Times New Roman" w:hAnsi="Times New Roman"/>
      <w:kern w:val="2"/>
      <w:sz w:val="21"/>
      <w:szCs w:val="24"/>
    </w:rPr>
  </w:style>
  <w:style w:type="paragraph" w:styleId="ac">
    <w:name w:val="No Spacing"/>
    <w:uiPriority w:val="1"/>
    <w:qFormat/>
    <w:pPr>
      <w:widowControl w:val="0"/>
      <w:jc w:val="both"/>
    </w:pPr>
    <w:rPr>
      <w:kern w:val="2"/>
      <w:sz w:val="21"/>
      <w:szCs w:val="22"/>
    </w:rPr>
  </w:style>
  <w:style w:type="paragraph" w:customStyle="1" w:styleId="10">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11">
    <w:name w:val="彩色列表 - 强调文字颜色 11"/>
    <w:basedOn w:val="a"/>
    <w:uiPriority w:val="34"/>
    <w:qFormat/>
    <w:pPr>
      <w:ind w:firstLineChars="200" w:firstLine="420"/>
    </w:pPr>
    <w:rPr>
      <w:rFonts w:ascii="等线" w:eastAsia="等线" w:hAnsi="等线"/>
      <w:sz w:val="24"/>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11">
    <w:name w:val="列出段落1"/>
    <w:basedOn w:val="a"/>
    <w:qFormat/>
    <w:pPr>
      <w:ind w:firstLineChars="200" w:firstLine="420"/>
    </w:pPr>
  </w:style>
  <w:style w:type="paragraph" w:styleId="ad">
    <w:name w:val="List Paragraph"/>
    <w:basedOn w:val="a"/>
    <w:uiPriority w:val="34"/>
    <w:qFormat/>
    <w:pPr>
      <w:ind w:firstLineChars="200" w:firstLine="420"/>
    </w:pPr>
  </w:style>
  <w:style w:type="paragraph" w:styleId="HTML">
    <w:name w:val="HTML Preformatted"/>
    <w:basedOn w:val="a"/>
    <w:link w:val="HTMLChar"/>
    <w:uiPriority w:val="99"/>
    <w:unhideWhenUsed/>
    <w:rsid w:val="00605C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605C7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365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40</Words>
  <Characters>231</Characters>
  <Application>Microsoft Office Word</Application>
  <DocSecurity>0</DocSecurity>
  <Lines>1</Lines>
  <Paragraphs>1</Paragraphs>
  <ScaleCrop>false</ScaleCrop>
  <Company>fjedu</Company>
  <LinksUpToDate>false</LinksUpToDate>
  <CharactersWithSpaces>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2025-04-09T07:23:00Z</dcterms:created>
  <dc:creator>子不语</dc:creator>
  <cp:lastModifiedBy>佘育生</cp:lastModifiedBy>
  <cp:lastPrinted>2022-12-06T10:54:00Z</cp:lastPrinted>
  <dcterms:modified xsi:type="dcterms:W3CDTF">2025-04-09T09:17:00Z</dcterms:modified>
  <cp:revision>6</cp:revision>
  <dc:title>一、项目名称：多重环境压力下海洋酸化的生理生态影响及其食物链效应</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18970B87171442C9AE9E1D245ABB4D1C</vt:lpwstr>
  </property>
</Properties>
</file>