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rPr>
          <w:rFonts w:hint="eastAsia" w:ascii="仿宋_GB2312" w:hAnsi="Calibri" w:eastAsia="宋体" w:cs="Times New Roman"/>
          <w:b w:val="0"/>
          <w:bCs w:val="0"/>
          <w:sz w:val="32"/>
          <w:szCs w:val="32"/>
        </w:rPr>
      </w:pPr>
      <w:bookmarkStart w:id="0" w:name="_GoBack"/>
      <w:bookmarkEnd w:id="0"/>
    </w:p>
    <w:p>
      <w:pPr>
        <w:suppressAutoHyphens/>
        <w:spacing w:line="560" w:lineRule="exact"/>
        <w:rPr>
          <w:rFonts w:hint="eastAsia" w:ascii="仿宋_GB2312" w:hAnsi="Calibri" w:eastAsia="宋体" w:cs="Times New Roman"/>
          <w:b w:val="0"/>
          <w:bCs w:val="0"/>
          <w:sz w:val="32"/>
          <w:szCs w:val="32"/>
        </w:rPr>
      </w:pPr>
    </w:p>
    <w:p>
      <w:pPr>
        <w:suppressAutoHyphens/>
        <w:spacing w:line="560" w:lineRule="exact"/>
        <w:rPr>
          <w:rFonts w:hint="eastAsia" w:ascii="仿宋_GB2312" w:hAnsi="Calibri" w:eastAsia="宋体" w:cs="Times New Roman"/>
          <w:b w:val="0"/>
          <w:bCs w:val="0"/>
          <w:sz w:val="32"/>
          <w:szCs w:val="32"/>
        </w:rPr>
      </w:pPr>
    </w:p>
    <w:p>
      <w:pPr>
        <w:suppressAutoHyphens/>
        <w:spacing w:line="560" w:lineRule="exact"/>
        <w:rPr>
          <w:rFonts w:hint="eastAsia" w:ascii="仿宋_GB2312" w:hAnsi="Calibri" w:eastAsia="宋体" w:cs="Times New Roman"/>
          <w:b w:val="0"/>
          <w:bCs w:val="0"/>
          <w:sz w:val="32"/>
          <w:szCs w:val="32"/>
        </w:rPr>
      </w:pPr>
    </w:p>
    <w:p>
      <w:pPr>
        <w:suppressAutoHyphens/>
        <w:spacing w:line="560" w:lineRule="exact"/>
        <w:rPr>
          <w:rFonts w:hint="eastAsia" w:ascii="仿宋_GB2312" w:hAnsi="Calibri" w:eastAsia="宋体" w:cs="Times New Roman"/>
          <w:b w:val="0"/>
          <w:bCs w:val="0"/>
          <w:sz w:val="32"/>
          <w:szCs w:val="32"/>
        </w:rPr>
      </w:pPr>
    </w:p>
    <w:p>
      <w:pPr>
        <w:suppressAutoHyphens/>
        <w:spacing w:line="560" w:lineRule="exact"/>
        <w:rPr>
          <w:rFonts w:hint="eastAsia" w:ascii="仿宋_GB2312" w:hAnsi="Calibri" w:eastAsia="宋体" w:cs="Times New Roman"/>
          <w:b w:val="0"/>
          <w:bCs w:val="0"/>
          <w:sz w:val="32"/>
          <w:szCs w:val="32"/>
        </w:rPr>
      </w:pPr>
    </w:p>
    <w:p>
      <w:pPr>
        <w:suppressAutoHyphens/>
        <w:spacing w:line="560" w:lineRule="exact"/>
        <w:rPr>
          <w:rFonts w:hint="eastAsia" w:ascii="仿宋_GB2312" w:hAnsi="Calibri" w:eastAsia="宋体" w:cs="Times New Roman"/>
          <w:b w:val="0"/>
          <w:bCs w:val="0"/>
          <w:sz w:val="32"/>
          <w:szCs w:val="32"/>
        </w:rPr>
      </w:pPr>
    </w:p>
    <w:p>
      <w:pPr>
        <w:suppressAutoHyphens/>
        <w:spacing w:line="560" w:lineRule="exact"/>
        <w:rPr>
          <w:rFonts w:hint="eastAsia" w:ascii="仿宋_GB2312" w:hAnsi="Calibri" w:eastAsia="宋体" w:cs="Times New Roman"/>
          <w:b w:val="0"/>
          <w:bCs w:val="0"/>
          <w:sz w:val="32"/>
          <w:szCs w:val="32"/>
        </w:rPr>
      </w:pPr>
    </w:p>
    <w:p>
      <w:pPr>
        <w:suppressAutoHyphens/>
        <w:spacing w:line="620" w:lineRule="exact"/>
        <w:ind w:firstLine="0" w:firstLineChars="0"/>
        <w:jc w:val="center"/>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rPr>
        <w:t>厦科规〔2024〕2号</w:t>
      </w:r>
    </w:p>
    <w:p>
      <w:pPr>
        <w:suppressAutoHyphens/>
        <w:spacing w:line="560" w:lineRule="exact"/>
        <w:rPr>
          <w:rFonts w:hint="eastAsia" w:ascii="仿宋_GB2312" w:hAnsi="Calibri" w:eastAsia="宋体" w:cs="Times New Roman"/>
          <w:b w:val="0"/>
          <w:bCs w:val="0"/>
          <w:sz w:val="32"/>
          <w:szCs w:val="32"/>
        </w:rPr>
      </w:pPr>
    </w:p>
    <w:p>
      <w:pPr>
        <w:suppressAutoHyphens/>
        <w:spacing w:line="560" w:lineRule="exact"/>
        <w:rPr>
          <w:rFonts w:hint="eastAsia" w:ascii="仿宋_GB2312" w:hAnsi="Calibri" w:eastAsia="宋体" w:cs="Times New Roman"/>
          <w:b w:val="0"/>
          <w:bCs w:val="0"/>
          <w:sz w:val="32"/>
          <w:szCs w:val="32"/>
        </w:rPr>
      </w:pPr>
    </w:p>
    <w:p>
      <w:pPr>
        <w:spacing w:line="520" w:lineRule="exact"/>
        <w:ind w:firstLine="0"/>
        <w:jc w:val="center"/>
        <w:rPr>
          <w:rFonts w:hint="eastAsia" w:ascii="方正小标宋简体" w:hAnsi="宋体" w:eastAsia="方正小标宋简体" w:cs="宋体"/>
          <w:b w:val="0"/>
          <w:bCs w:val="0"/>
          <w:color w:val="auto"/>
          <w:kern w:val="0"/>
          <w:sz w:val="44"/>
          <w:szCs w:val="44"/>
          <w:lang w:val="en-US" w:eastAsia="zh-CN"/>
        </w:rPr>
      </w:pPr>
      <w:r>
        <w:rPr>
          <w:rFonts w:hint="eastAsia" w:ascii="方正小标宋简体" w:hAnsi="宋体" w:eastAsia="方正小标宋简体" w:cs="宋体"/>
          <w:b w:val="0"/>
          <w:bCs w:val="0"/>
          <w:color w:val="auto"/>
          <w:kern w:val="0"/>
          <w:sz w:val="44"/>
          <w:szCs w:val="44"/>
          <w:lang w:val="en-US" w:eastAsia="zh-CN"/>
        </w:rPr>
        <w:t>厦门市科学技术局关于印发</w:t>
      </w:r>
    </w:p>
    <w:p>
      <w:pPr>
        <w:spacing w:line="520" w:lineRule="exact"/>
        <w:ind w:firstLine="0"/>
        <w:jc w:val="center"/>
        <w:rPr>
          <w:rFonts w:hint="eastAsia" w:ascii="方正小标宋简体" w:hAnsi="宋体" w:eastAsia="方正小标宋简体" w:cs="宋体"/>
          <w:b w:val="0"/>
          <w:bCs w:val="0"/>
          <w:color w:val="auto"/>
          <w:kern w:val="0"/>
          <w:sz w:val="44"/>
          <w:szCs w:val="44"/>
          <w:lang w:val="en-US" w:eastAsia="zh-CN"/>
        </w:rPr>
      </w:pPr>
      <w:r>
        <w:rPr>
          <w:rFonts w:hint="eastAsia" w:ascii="方正小标宋简体" w:hAnsi="宋体" w:eastAsia="方正小标宋简体" w:cs="宋体"/>
          <w:b w:val="0"/>
          <w:bCs w:val="0"/>
          <w:color w:val="auto"/>
          <w:kern w:val="0"/>
          <w:sz w:val="44"/>
          <w:szCs w:val="44"/>
          <w:lang w:val="en-US" w:eastAsia="zh-CN"/>
        </w:rPr>
        <w:t>厦门市加快推进生物医药产业高质量发展</w:t>
      </w:r>
    </w:p>
    <w:p>
      <w:pPr>
        <w:spacing w:line="520" w:lineRule="exact"/>
        <w:ind w:firstLine="0"/>
        <w:jc w:val="center"/>
        <w:rPr>
          <w:rFonts w:hint="eastAsia" w:ascii="方正小标宋简体" w:hAnsi="宋体" w:eastAsia="方正小标宋简体" w:cs="宋体"/>
          <w:b w:val="0"/>
          <w:bCs w:val="0"/>
          <w:color w:val="auto"/>
          <w:kern w:val="0"/>
          <w:sz w:val="44"/>
          <w:szCs w:val="44"/>
          <w:lang w:val="en-US" w:eastAsia="zh-CN"/>
        </w:rPr>
      </w:pPr>
      <w:r>
        <w:rPr>
          <w:rFonts w:hint="eastAsia" w:ascii="方正小标宋简体" w:hAnsi="宋体" w:eastAsia="方正小标宋简体" w:cs="宋体"/>
          <w:b w:val="0"/>
          <w:bCs w:val="0"/>
          <w:color w:val="auto"/>
          <w:kern w:val="0"/>
          <w:sz w:val="44"/>
          <w:szCs w:val="44"/>
          <w:lang w:val="en-US" w:eastAsia="zh-CN"/>
        </w:rPr>
        <w:t>若干措施实施细则的通知</w:t>
      </w:r>
    </w:p>
    <w:p>
      <w:pPr>
        <w:widowControl w:val="0"/>
        <w:adjustRightInd w:val="0"/>
        <w:snapToGrid w:val="0"/>
        <w:spacing w:line="480" w:lineRule="exact"/>
        <w:ind w:left="0" w:leftChars="0" w:firstLine="0" w:firstLineChars="0"/>
        <w:rPr>
          <w:rFonts w:hint="eastAsia" w:ascii="仿宋_GB2312" w:eastAsia="仿宋_GB2312" w:cs="仿宋_GB2312" w:hAnsiTheme="minorHAnsi"/>
          <w:b w:val="0"/>
          <w:bCs w:val="0"/>
          <w:color w:val="auto"/>
          <w:kern w:val="2"/>
          <w:sz w:val="32"/>
          <w:szCs w:val="32"/>
          <w:highlight w:val="none"/>
          <w:lang w:val="en-US" w:eastAsia="zh-CN" w:bidi="ar-SA"/>
        </w:rPr>
      </w:pPr>
    </w:p>
    <w:p>
      <w:pPr>
        <w:widowControl w:val="0"/>
        <w:adjustRightInd w:val="0"/>
        <w:snapToGrid w:val="0"/>
        <w:spacing w:line="480" w:lineRule="exact"/>
        <w:ind w:left="0" w:leftChars="0" w:firstLine="0" w:firstLineChars="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各有关单位：</w:t>
      </w:r>
    </w:p>
    <w:p>
      <w:pPr>
        <w:widowControl w:val="0"/>
        <w:adjustRightInd w:val="0"/>
        <w:snapToGrid w:val="0"/>
        <w:spacing w:line="480" w:lineRule="exact"/>
        <w:ind w:left="0" w:leftChars="0"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为贯彻落实《厦门市加快推进生物医药产业高质量发展若干措施》（厦府规〔2023〕17号），规范相关奖励补助资金兑现工作，我局制定了《厦门市加快推进生物医药产业高质量发展若干措施实施细则》，现予以印发，请遵照执行。</w:t>
      </w:r>
    </w:p>
    <w:p>
      <w:pPr>
        <w:widowControl w:val="0"/>
        <w:adjustRightInd w:val="0"/>
        <w:snapToGrid w:val="0"/>
        <w:spacing w:line="480" w:lineRule="exact"/>
        <w:ind w:left="0" w:leftChars="0" w:firstLine="0" w:firstLineChars="0"/>
        <w:rPr>
          <w:rFonts w:hint="eastAsia" w:ascii="仿宋_GB2312" w:eastAsia="仿宋_GB2312" w:cs="仿宋_GB2312"/>
          <w:b w:val="0"/>
          <w:bCs w:val="0"/>
          <w:color w:val="auto"/>
          <w:kern w:val="2"/>
          <w:sz w:val="32"/>
          <w:szCs w:val="32"/>
          <w:highlight w:val="none"/>
          <w:lang w:val="en-US" w:eastAsia="zh-CN" w:bidi="ar-SA"/>
        </w:rPr>
      </w:pPr>
    </w:p>
    <w:p>
      <w:pPr>
        <w:widowControl w:val="0"/>
        <w:adjustRightInd w:val="0"/>
        <w:snapToGrid w:val="0"/>
        <w:spacing w:line="480" w:lineRule="exact"/>
        <w:ind w:left="0" w:leftChars="0" w:firstLine="0" w:firstLineChars="0"/>
        <w:rPr>
          <w:rFonts w:hint="eastAsia" w:ascii="仿宋_GB2312" w:eastAsia="仿宋_GB2312" w:cs="仿宋_GB2312"/>
          <w:b w:val="0"/>
          <w:bCs w:val="0"/>
          <w:color w:val="auto"/>
          <w:kern w:val="2"/>
          <w:sz w:val="32"/>
          <w:szCs w:val="32"/>
          <w:highlight w:val="none"/>
          <w:lang w:val="en-US" w:eastAsia="zh-CN" w:bidi="ar-SA"/>
        </w:rPr>
      </w:pPr>
    </w:p>
    <w:p>
      <w:pPr>
        <w:widowControl w:val="0"/>
        <w:adjustRightInd w:val="0"/>
        <w:snapToGrid w:val="0"/>
        <w:spacing w:line="480" w:lineRule="exact"/>
        <w:ind w:firstLine="5212" w:firstLineChars="1629"/>
        <w:jc w:val="both"/>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厦门市科学技术局</w:t>
      </w:r>
    </w:p>
    <w:p>
      <w:pPr>
        <w:widowControl w:val="0"/>
        <w:adjustRightInd w:val="0"/>
        <w:snapToGrid w:val="0"/>
        <w:spacing w:line="480" w:lineRule="exact"/>
        <w:ind w:firstLine="5212" w:firstLineChars="1629"/>
        <w:jc w:val="both"/>
        <w:rPr>
          <w:rFonts w:hint="default"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2024年8月2</w:t>
      </w:r>
      <w:r>
        <w:rPr>
          <w:rFonts w:hint="eastAsia" w:ascii="仿宋_GB2312" w:eastAsia="仿宋_GB2312" w:cs="仿宋_GB2312"/>
          <w:b w:val="0"/>
          <w:bCs w:val="0"/>
          <w:color w:val="auto"/>
          <w:kern w:val="2"/>
          <w:sz w:val="32"/>
          <w:szCs w:val="32"/>
          <w:highlight w:val="none"/>
          <w:lang w:val="en-US" w:eastAsia="zh-CN" w:bidi="ar-SA"/>
        </w:rPr>
        <w:t>6</w:t>
      </w:r>
      <w:r>
        <w:rPr>
          <w:rFonts w:hint="eastAsia" w:ascii="仿宋_GB2312" w:eastAsia="仿宋_GB2312" w:cs="仿宋_GB2312" w:hAnsiTheme="minorHAnsi"/>
          <w:b w:val="0"/>
          <w:bCs w:val="0"/>
          <w:color w:val="auto"/>
          <w:kern w:val="2"/>
          <w:sz w:val="32"/>
          <w:szCs w:val="32"/>
          <w:highlight w:val="none"/>
          <w:lang w:val="en-US" w:eastAsia="zh-CN" w:bidi="ar-SA"/>
        </w:rPr>
        <w:t>日</w:t>
      </w:r>
    </w:p>
    <w:p>
      <w:pPr>
        <w:widowControl w:val="0"/>
        <w:adjustRightInd w:val="0"/>
        <w:snapToGrid w:val="0"/>
        <w:spacing w:line="480" w:lineRule="exact"/>
        <w:ind w:left="0" w:leftChars="0"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（此件主动公开）</w:t>
      </w:r>
    </w:p>
    <w:p>
      <w:pPr>
        <w:adjustRightInd w:val="0"/>
        <w:snapToGrid w:val="0"/>
        <w:spacing w:line="540" w:lineRule="exact"/>
        <w:ind w:firstLine="0" w:firstLineChars="0"/>
        <w:jc w:val="center"/>
        <w:rPr>
          <w:rFonts w:hint="eastAsia" w:ascii="方正小标宋简体" w:hAnsi="宋体" w:eastAsia="方正小标宋简体" w:cs="宋体"/>
          <w:b w:val="0"/>
          <w:bCs w:val="0"/>
          <w:color w:val="auto"/>
          <w:kern w:val="0"/>
          <w:sz w:val="44"/>
          <w:szCs w:val="44"/>
        </w:rPr>
      </w:pPr>
      <w:r>
        <w:rPr>
          <w:rFonts w:hint="eastAsia" w:ascii="方正小标宋简体" w:hAnsi="宋体" w:eastAsia="方正小标宋简体" w:cs="宋体"/>
          <w:b w:val="0"/>
          <w:bCs w:val="0"/>
          <w:color w:val="auto"/>
          <w:kern w:val="0"/>
          <w:sz w:val="44"/>
          <w:szCs w:val="44"/>
        </w:rPr>
        <w:t>厦门市加快推进生物医药产业高质量发展</w:t>
      </w:r>
    </w:p>
    <w:p>
      <w:pPr>
        <w:spacing w:line="640" w:lineRule="exact"/>
        <w:ind w:firstLine="0"/>
        <w:jc w:val="center"/>
        <w:rPr>
          <w:rFonts w:ascii="华文楷体" w:hAnsi="华文楷体" w:eastAsia="方正小标宋简体" w:cs="宋体"/>
          <w:b w:val="0"/>
          <w:bCs w:val="0"/>
          <w:color w:val="auto"/>
          <w:kern w:val="0"/>
          <w:sz w:val="44"/>
          <w:szCs w:val="44"/>
        </w:rPr>
      </w:pPr>
      <w:r>
        <w:rPr>
          <w:rFonts w:hint="eastAsia" w:ascii="方正小标宋简体" w:hAnsi="宋体" w:eastAsia="方正小标宋简体" w:cs="宋体"/>
          <w:b w:val="0"/>
          <w:bCs w:val="0"/>
          <w:color w:val="auto"/>
          <w:kern w:val="0"/>
          <w:sz w:val="44"/>
          <w:szCs w:val="44"/>
        </w:rPr>
        <w:t>若干措施实施细则</w:t>
      </w:r>
    </w:p>
    <w:p>
      <w:pPr>
        <w:spacing w:line="580" w:lineRule="exact"/>
        <w:ind w:firstLine="0"/>
        <w:jc w:val="left"/>
        <w:rPr>
          <w:rFonts w:hint="eastAsia"/>
          <w:b w:val="0"/>
          <w:bCs w:val="0"/>
          <w:sz w:val="32"/>
          <w:szCs w:val="32"/>
        </w:rPr>
      </w:pPr>
    </w:p>
    <w:p>
      <w:pPr>
        <w:spacing w:line="580" w:lineRule="exact"/>
        <w:ind w:firstLine="645"/>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第一章  总则</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第一条 为贯彻落实《厦门市加快推进生物医药产业高质量发展若干措施》（厦府规〔2023〕17号）（以下简称《若干措施》），结合本市实际，制定本实施细则。</w:t>
      </w:r>
    </w:p>
    <w:p>
      <w:pPr>
        <w:widowControl w:val="0"/>
        <w:adjustRightInd w:val="0"/>
        <w:snapToGrid w:val="0"/>
        <w:spacing w:line="580" w:lineRule="exact"/>
        <w:ind w:firstLine="640" w:firstLineChars="200"/>
        <w:rPr>
          <w:rFonts w:hint="eastAsia"/>
          <w:b w:val="0"/>
          <w:bCs w:val="0"/>
          <w:lang w:val="en-US" w:eastAsia="zh-CN"/>
        </w:rPr>
      </w:pPr>
      <w:r>
        <w:rPr>
          <w:rFonts w:hint="eastAsia" w:ascii="仿宋_GB2312" w:eastAsia="仿宋_GB2312" w:cs="仿宋_GB2312" w:hAnsiTheme="minorHAnsi"/>
          <w:b w:val="0"/>
          <w:bCs w:val="0"/>
          <w:color w:val="auto"/>
          <w:kern w:val="2"/>
          <w:sz w:val="32"/>
          <w:szCs w:val="32"/>
          <w:highlight w:val="none"/>
          <w:lang w:val="en-US" w:eastAsia="zh-CN" w:bidi="ar-SA"/>
        </w:rPr>
        <w:t>第二条 本实施细则适用于具有独立法人资格、实行独立核算、有健全的财务制度、符合信用管理规定的相关企业或机构。</w:t>
      </w:r>
    </w:p>
    <w:p>
      <w:pPr>
        <w:spacing w:line="580" w:lineRule="exact"/>
        <w:ind w:firstLine="640" w:firstLineChars="200"/>
        <w:jc w:val="center"/>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 xml:space="preserve">第二章  </w:t>
      </w:r>
      <w:r>
        <w:rPr>
          <w:rFonts w:hint="eastAsia" w:ascii="黑体" w:hAnsi="黑体" w:eastAsia="黑体" w:cs="黑体"/>
          <w:b w:val="0"/>
          <w:bCs w:val="0"/>
          <w:color w:val="auto"/>
          <w:kern w:val="0"/>
          <w:sz w:val="32"/>
          <w:szCs w:val="32"/>
          <w:lang w:val="en-US" w:eastAsia="zh-CN"/>
        </w:rPr>
        <w:t>政策兑现</w:t>
      </w:r>
      <w:r>
        <w:rPr>
          <w:rFonts w:hint="eastAsia" w:ascii="黑体" w:hAnsi="黑体" w:eastAsia="黑体" w:cs="黑体"/>
          <w:b w:val="0"/>
          <w:bCs w:val="0"/>
          <w:color w:val="auto"/>
          <w:kern w:val="0"/>
          <w:sz w:val="32"/>
          <w:szCs w:val="32"/>
        </w:rPr>
        <w:t>事项</w:t>
      </w:r>
    </w:p>
    <w:p>
      <w:pPr>
        <w:spacing w:line="580" w:lineRule="exact"/>
        <w:ind w:firstLine="640" w:firstLineChars="200"/>
        <w:rPr>
          <w:rFonts w:ascii="仿宋_GB2312" w:hAnsi="Times New Roman" w:eastAsia="仿宋_GB2312" w:cs="仿宋_GB2312"/>
          <w:b w:val="0"/>
          <w:bCs w:val="0"/>
          <w:color w:val="auto"/>
          <w:sz w:val="32"/>
          <w:szCs w:val="32"/>
        </w:rPr>
      </w:pPr>
      <w:r>
        <w:rPr>
          <w:rFonts w:hint="eastAsia" w:ascii="仿宋_GB2312" w:hAnsi="Times New Roman" w:eastAsia="仿宋_GB2312" w:cs="仿宋_GB2312"/>
          <w:b w:val="0"/>
          <w:bCs w:val="0"/>
          <w:color w:val="auto"/>
          <w:sz w:val="32"/>
          <w:szCs w:val="32"/>
        </w:rPr>
        <w:t>第三条  支持创新产品研发</w:t>
      </w:r>
    </w:p>
    <w:p>
      <w:pPr>
        <w:pStyle w:val="15"/>
        <w:spacing w:line="580" w:lineRule="exact"/>
        <w:ind w:left="0" w:firstLine="640" w:firstLineChars="200"/>
        <w:rPr>
          <w:rFonts w:ascii="仿宋_GB2312" w:eastAsia="仿宋_GB2312" w:cs="仿宋_GB2312"/>
          <w:b w:val="0"/>
          <w:bCs w:val="0"/>
          <w:color w:val="auto"/>
          <w:sz w:val="32"/>
          <w:szCs w:val="32"/>
        </w:rPr>
      </w:pPr>
      <w:r>
        <w:rPr>
          <w:rFonts w:hint="eastAsia" w:ascii="仿宋_GB2312" w:eastAsia="仿宋_GB2312" w:cs="仿宋_GB2312"/>
          <w:b w:val="0"/>
          <w:bCs w:val="0"/>
          <w:color w:val="auto"/>
          <w:sz w:val="32"/>
          <w:szCs w:val="32"/>
        </w:rPr>
        <w:t>（一）支持对象和标准</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1.创新药研发奖励：对在本市转化的创新药（1类生物制品、化学药和中药及天然药物），完成临床前研究、或Ⅰ、Ⅱ、Ⅲ期临床试验、或完成境外临床研究的，按照研发投入最高不超过40%的标准，分别给予各阶段最高不超过400万元、1000万元、2000万元、3000万元、300万元的奖励。</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2.改良型新药研发奖励：对在本市转化的改良型新药（2类生物制品、化学药、中药及天然药物</w:t>
      </w:r>
      <w:r>
        <w:rPr>
          <w:rFonts w:hint="eastAsia" w:ascii="仿宋_GB2312" w:eastAsia="仿宋_GB2312" w:cs="仿宋_GB2312"/>
          <w:b w:val="0"/>
          <w:bCs w:val="0"/>
          <w:color w:val="auto"/>
          <w:kern w:val="2"/>
          <w:sz w:val="32"/>
          <w:szCs w:val="32"/>
          <w:highlight w:val="none"/>
          <w:lang w:val="en-US" w:eastAsia="zh-CN" w:bidi="ar-SA"/>
        </w:rPr>
        <w:t>）</w:t>
      </w:r>
      <w:r>
        <w:rPr>
          <w:rFonts w:hint="eastAsia" w:ascii="仿宋_GB2312" w:eastAsia="仿宋_GB2312" w:cs="仿宋_GB2312" w:hAnsiTheme="minorHAnsi"/>
          <w:b w:val="0"/>
          <w:bCs w:val="0"/>
          <w:color w:val="auto"/>
          <w:kern w:val="2"/>
          <w:sz w:val="32"/>
          <w:szCs w:val="32"/>
          <w:highlight w:val="none"/>
          <w:lang w:val="en-US" w:eastAsia="zh-CN" w:bidi="ar-SA"/>
        </w:rPr>
        <w:t>，以及古代经典名方中药复方制剂（仅就临床前研究），完成临床前研究，或Ⅰ、Ⅱ、Ⅲ期临床试验，或完成境外临床研究的，按照研发投入最高不超过20%的标准，分别给予各阶段最高不超过100万元、300万元、800万元、1500万元、200万元的奖励。</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对按国家药监局认可的其它临床试验分期方式完成创新药和改良型新药相应临床试验的，经评审，参照I、II、III期临床试验标准给予奖励。</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经评审认定为重点引进的创新药和改良型新药产业化项目，完成品种转移手续后，对其引进前完成的临床各阶段研究（不含临床前研究），可参照上述政策予以奖励。</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单个企业享受创新药和改良型新药研发奖励支持额度每年最高不超过1亿元。</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3.仿制药一致性评价奖励：对国内首家通过、前三个通过和通过（含视同通过）仿制药质量和疗效一致性评价的品种，分别按最高不超过评价成本的40%、30%和20%的标准给予最高不超过300万的一次性奖励，单个企业每年支持额度最高不超过1000万元。</w:t>
      </w:r>
    </w:p>
    <w:p>
      <w:pPr>
        <w:pStyle w:val="15"/>
        <w:spacing w:line="580" w:lineRule="exact"/>
        <w:ind w:left="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（二）说明</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1.生物制品、化学药品、中药和天然药物的注册分类，根据国家药品监督管理主管部门发布的现行注册分类标准执行。</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2.本实施细则中凡涉及研发费用的，统一按当年企业所得税研发费用加计扣除口径归集。</w:t>
      </w:r>
    </w:p>
    <w:p>
      <w:pPr>
        <w:widowControl w:val="0"/>
        <w:adjustRightInd w:val="0"/>
        <w:snapToGrid w:val="0"/>
        <w:spacing w:line="580" w:lineRule="exact"/>
        <w:ind w:firstLine="640" w:firstLineChars="200"/>
        <w:rPr>
          <w:rFonts w:hint="default"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3.临床前试验阶段奖励的研发投入最多从兑现年度往前追溯5年。</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4.临床试验各阶段无法清晰界定的，可于政策有效期内，在完成可清晰界定的临床试验阶段后，将已完成的临床试验各阶段合并申报。</w:t>
      </w:r>
    </w:p>
    <w:p>
      <w:pPr>
        <w:spacing w:line="580" w:lineRule="exact"/>
        <w:ind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第四条  支持创新产品产业化</w:t>
      </w:r>
    </w:p>
    <w:p>
      <w:pPr>
        <w:pStyle w:val="15"/>
        <w:spacing w:line="580" w:lineRule="exact"/>
        <w:ind w:left="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（一）支持对象和标准</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1.药品产业化奖励：取得药品注册证书或药品补充申请批准通知书，首次产业化的创新药（含1类生物制品、化学药、中药）、改良型新药（含2类生物制品、化学药、中药）、仿制药（含3类生物制品、3类及4类化学药），按照类别每个品种分别给予1000万元、500万元、300万元奖励，单个企业每年支持额度最高不超过3000万元。</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2.医疗器械产业化奖励：取得第二类、第三类医疗器械注册证书，首次产业化的医疗器械（限非零部件类医疗仪器设备及器械），按照类别每个品种分别给予40万元、100万元奖励，单个企业支持额度每年最高不超过500万元。</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3.创新医疗器械产业化奖励：进入国家创新医疗器械特别审查程序获得产品注册证，首次实现产业化的三类医疗器械，每个品种给予200万元奖励。其中研发投入超过1500万元的创新医疗器械可申请重大项目评审，通过评审的项目，每个品种给予最高不超过600万元奖励。</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4.保健食品、特殊化妆品和特殊医学用途配方食品产业化奖励：取得注册证书，首次实现产业化的保健食品、特殊化妆品和特殊医学用途配方食品，每个品种分别给予60万元一次性奖励。</w:t>
      </w:r>
    </w:p>
    <w:p>
      <w:pPr>
        <w:pStyle w:val="15"/>
        <w:spacing w:line="580" w:lineRule="exact"/>
        <w:ind w:left="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（二）说明</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1.申报品种应在政策有效期内首次获得相应证书；同一企业的同一药品不同规格视为同一品种，同一药品品种增加适应症不再重复兑现。</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2.申报单位通过受让、购买获得的产品，其原证书取得时间应不早于申报年度向前追溯3年。</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3.药品、医疗器械产业化奖励由申报单位在申报品种销售收入分别达到100万元、50万元后提出申请。</w:t>
      </w:r>
    </w:p>
    <w:p>
      <w:pPr>
        <w:spacing w:line="580" w:lineRule="exact"/>
        <w:ind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第五条  支持创新产品国际化</w:t>
      </w:r>
    </w:p>
    <w:p>
      <w:pPr>
        <w:pStyle w:val="15"/>
        <w:spacing w:line="580" w:lineRule="exact"/>
        <w:ind w:left="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（一）支持对象和标准</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1.创新药、改良型新药国际化奖励：首次取得境外ICH成员国注册批件或通过世界卫生组织预认证（WHOPQ）的创新药、改良型新药，按照类别每个品种分别给予300万元、150万元一次性奖励，单个企业每年最高不超过600万元。</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2.医疗器械国际化奖励：首次取得欧盟、美国、英国、日本、澳大利亚、巴西、俄罗斯国际注册或国际认证的医疗器械，对应国内第二类、第三类的医疗器械单个注册单元分别给予30万元、50万元一次性奖励，单个企业每年最高不超过500万元。</w:t>
      </w:r>
    </w:p>
    <w:p>
      <w:pPr>
        <w:pStyle w:val="15"/>
        <w:spacing w:line="580" w:lineRule="exact"/>
        <w:ind w:left="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（二）说明</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1.申请本项奖励的企业应在政策执行期内首次获得相应证书</w:t>
      </w:r>
      <w:r>
        <w:rPr>
          <w:rFonts w:hint="eastAsia" w:ascii="仿宋_GB2312" w:eastAsia="仿宋_GB2312" w:cs="仿宋_GB2312"/>
          <w:b w:val="0"/>
          <w:bCs w:val="0"/>
          <w:color w:val="auto"/>
          <w:kern w:val="2"/>
          <w:sz w:val="32"/>
          <w:szCs w:val="32"/>
          <w:highlight w:val="none"/>
          <w:lang w:val="en-US" w:eastAsia="zh-CN" w:bidi="ar-SA"/>
        </w:rPr>
        <w:t>。</w:t>
      </w:r>
    </w:p>
    <w:p>
      <w:pPr>
        <w:widowControl w:val="0"/>
        <w:adjustRightInd w:val="0"/>
        <w:snapToGrid w:val="0"/>
        <w:spacing w:line="580" w:lineRule="exact"/>
        <w:ind w:firstLine="640" w:firstLineChars="200"/>
        <w:rPr>
          <w:rFonts w:hint="eastAsia" w:ascii="仿宋_GB2312" w:eastAsia="仿宋_GB2312" w:cs="仿宋_GB2312" w:hAnsiTheme="minorHAnsi"/>
          <w:b w:val="0"/>
          <w:bCs w:val="0"/>
          <w:color w:val="auto"/>
          <w:kern w:val="2"/>
          <w:sz w:val="32"/>
          <w:szCs w:val="32"/>
          <w:highlight w:val="none"/>
          <w:lang w:val="en-US" w:eastAsia="zh-CN" w:bidi="ar-SA"/>
        </w:rPr>
      </w:pPr>
      <w:r>
        <w:rPr>
          <w:rFonts w:hint="eastAsia" w:ascii="仿宋_GB2312" w:eastAsia="仿宋_GB2312" w:cs="仿宋_GB2312" w:hAnsiTheme="minorHAnsi"/>
          <w:b w:val="0"/>
          <w:bCs w:val="0"/>
          <w:color w:val="auto"/>
          <w:kern w:val="2"/>
          <w:sz w:val="32"/>
          <w:szCs w:val="32"/>
          <w:highlight w:val="none"/>
          <w:lang w:val="en-US" w:eastAsia="zh-CN" w:bidi="ar-SA"/>
        </w:rPr>
        <w:t>2.同一企业的同一产品获多项国外机构认证或准入授权，仅兑现一次。</w:t>
      </w:r>
    </w:p>
    <w:p>
      <w:pPr>
        <w:pStyle w:val="14"/>
        <w:spacing w:line="580" w:lineRule="exact"/>
        <w:ind w:left="0" w:leftChars="0"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第</w:t>
      </w:r>
      <w:r>
        <w:rPr>
          <w:rFonts w:hint="eastAsia" w:ascii="仿宋_GB2312" w:hAnsi="Times New Roman" w:eastAsia="仿宋_GB2312" w:cs="仿宋_GB2312"/>
          <w:b w:val="0"/>
          <w:bCs w:val="0"/>
          <w:color w:val="auto"/>
          <w:sz w:val="32"/>
          <w:szCs w:val="32"/>
          <w:highlight w:val="none"/>
          <w:lang w:val="en-US" w:eastAsia="zh-CN"/>
        </w:rPr>
        <w:t>六</w:t>
      </w:r>
      <w:r>
        <w:rPr>
          <w:rFonts w:hint="eastAsia" w:ascii="仿宋_GB2312" w:hAnsi="Times New Roman" w:eastAsia="仿宋_GB2312" w:cs="仿宋_GB2312"/>
          <w:b w:val="0"/>
          <w:bCs w:val="0"/>
          <w:color w:val="auto"/>
          <w:sz w:val="32"/>
          <w:szCs w:val="32"/>
          <w:highlight w:val="none"/>
        </w:rPr>
        <w:t>条  推进科技成果对接转化</w:t>
      </w:r>
    </w:p>
    <w:p>
      <w:pPr>
        <w:pStyle w:val="15"/>
        <w:spacing w:line="580" w:lineRule="exact"/>
        <w:ind w:left="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（一）支持对象和标准</w:t>
      </w:r>
    </w:p>
    <w:p>
      <w:pPr>
        <w:spacing w:line="580" w:lineRule="exact"/>
        <w:ind w:left="0" w:leftChars="0" w:firstLine="640" w:firstLineChars="200"/>
        <w:rPr>
          <w:rFonts w:ascii="仿宋_GB2312" w:hAnsi="Times New Roman"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企业</w:t>
      </w:r>
      <w:r>
        <w:rPr>
          <w:rFonts w:hint="eastAsia" w:ascii="仿宋_GB2312" w:hAnsi="Times New Roman" w:eastAsia="仿宋_GB2312" w:cs="仿宋_GB2312"/>
          <w:b w:val="0"/>
          <w:bCs w:val="0"/>
          <w:color w:val="auto"/>
          <w:sz w:val="32"/>
          <w:szCs w:val="32"/>
          <w:highlight w:val="none"/>
        </w:rPr>
        <w:t>购买非关联企业且无投资关系生物医药重大科技成果并实现产业化，按照不超过实际支付技术交易额的30%予以补助，最高不超过300万元。</w:t>
      </w:r>
    </w:p>
    <w:p>
      <w:pPr>
        <w:spacing w:line="580" w:lineRule="exact"/>
        <w:ind w:left="0" w:leftChars="0" w:firstLine="640" w:firstLineChars="200"/>
        <w:rPr>
          <w:rFonts w:hint="eastAsia"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重大科技成果指</w:t>
      </w:r>
      <w:r>
        <w:rPr>
          <w:rFonts w:hint="eastAsia" w:ascii="仿宋_GB2312" w:hAnsi="Times New Roman" w:eastAsia="仿宋_GB2312" w:cs="仿宋_GB2312"/>
          <w:b w:val="0"/>
          <w:bCs w:val="0"/>
          <w:color w:val="auto"/>
          <w:sz w:val="32"/>
          <w:szCs w:val="32"/>
          <w:highlight w:val="none"/>
          <w:lang w:val="en-US" w:eastAsia="zh-CN"/>
        </w:rPr>
        <w:t>具有较高创新性并</w:t>
      </w:r>
      <w:r>
        <w:rPr>
          <w:rFonts w:hint="eastAsia" w:ascii="仿宋_GB2312" w:hAnsi="Times New Roman" w:eastAsia="仿宋_GB2312" w:cs="仿宋_GB2312"/>
          <w:b w:val="0"/>
          <w:bCs w:val="0"/>
          <w:color w:val="auto"/>
          <w:sz w:val="32"/>
          <w:szCs w:val="32"/>
          <w:highlight w:val="none"/>
        </w:rPr>
        <w:t>满足技术交易额达到</w:t>
      </w:r>
      <w:r>
        <w:rPr>
          <w:rFonts w:ascii="仿宋_GB2312" w:hAnsi="Times New Roman" w:eastAsia="仿宋_GB2312" w:cs="仿宋_GB2312"/>
          <w:b w:val="0"/>
          <w:bCs w:val="0"/>
          <w:color w:val="auto"/>
          <w:sz w:val="32"/>
          <w:szCs w:val="32"/>
          <w:highlight w:val="none"/>
        </w:rPr>
        <w:t>500</w:t>
      </w:r>
      <w:r>
        <w:rPr>
          <w:rFonts w:hint="eastAsia" w:ascii="仿宋_GB2312" w:hAnsi="Times New Roman" w:eastAsia="仿宋_GB2312" w:cs="仿宋_GB2312"/>
          <w:b w:val="0"/>
          <w:bCs w:val="0"/>
          <w:color w:val="auto"/>
          <w:sz w:val="32"/>
          <w:szCs w:val="32"/>
          <w:highlight w:val="none"/>
        </w:rPr>
        <w:t>万元及以上，且申报单位为实现该项目产业化的研发投入</w:t>
      </w:r>
      <w:r>
        <w:rPr>
          <w:rFonts w:hint="eastAsia" w:ascii="仿宋_GB2312" w:hAnsi="Times New Roman" w:eastAsia="仿宋_GB2312" w:cs="仿宋_GB2312"/>
          <w:b w:val="0"/>
          <w:bCs w:val="0"/>
          <w:color w:val="auto"/>
          <w:sz w:val="32"/>
          <w:szCs w:val="32"/>
          <w:highlight w:val="none"/>
          <w:lang w:val="en-US" w:eastAsia="zh-CN"/>
        </w:rPr>
        <w:t>和</w:t>
      </w:r>
      <w:r>
        <w:rPr>
          <w:rFonts w:hint="eastAsia" w:ascii="仿宋_GB2312" w:hAnsi="Times New Roman" w:eastAsia="仿宋_GB2312" w:cs="仿宋_GB2312"/>
          <w:b w:val="0"/>
          <w:bCs w:val="0"/>
          <w:color w:val="auto"/>
          <w:sz w:val="32"/>
          <w:szCs w:val="32"/>
          <w:highlight w:val="none"/>
        </w:rPr>
        <w:t>技术交易额</w:t>
      </w:r>
      <w:r>
        <w:rPr>
          <w:rFonts w:hint="eastAsia" w:ascii="仿宋_GB2312" w:hAnsi="Times New Roman" w:eastAsia="仿宋_GB2312" w:cs="仿宋_GB2312"/>
          <w:b w:val="0"/>
          <w:bCs w:val="0"/>
          <w:color w:val="auto"/>
          <w:sz w:val="32"/>
          <w:szCs w:val="32"/>
          <w:highlight w:val="none"/>
          <w:lang w:val="en-US" w:eastAsia="zh-CN"/>
        </w:rPr>
        <w:t>合计</w:t>
      </w:r>
      <w:r>
        <w:rPr>
          <w:rFonts w:hint="eastAsia" w:ascii="仿宋_GB2312" w:hAnsi="Times New Roman" w:eastAsia="仿宋_GB2312" w:cs="仿宋_GB2312"/>
          <w:b w:val="0"/>
          <w:bCs w:val="0"/>
          <w:color w:val="auto"/>
          <w:sz w:val="32"/>
          <w:szCs w:val="32"/>
          <w:highlight w:val="none"/>
        </w:rPr>
        <w:t>达到</w:t>
      </w:r>
      <w:r>
        <w:rPr>
          <w:rFonts w:hint="eastAsia" w:ascii="仿宋_GB2312" w:hAnsi="Times New Roman" w:eastAsia="仿宋_GB2312" w:cs="仿宋_GB2312"/>
          <w:b w:val="0"/>
          <w:bCs w:val="0"/>
          <w:color w:val="auto"/>
          <w:sz w:val="32"/>
          <w:szCs w:val="32"/>
          <w:highlight w:val="none"/>
          <w:lang w:val="en-US" w:eastAsia="zh-CN"/>
        </w:rPr>
        <w:t>15</w:t>
      </w:r>
      <w:r>
        <w:rPr>
          <w:rFonts w:hint="eastAsia" w:ascii="仿宋_GB2312" w:hAnsi="Times New Roman" w:eastAsia="仿宋_GB2312" w:cs="仿宋_GB2312"/>
          <w:b w:val="0"/>
          <w:bCs w:val="0"/>
          <w:color w:val="auto"/>
          <w:sz w:val="32"/>
          <w:szCs w:val="32"/>
          <w:highlight w:val="none"/>
        </w:rPr>
        <w:t>00万元及以上，经专家评审通过的成果项目</w:t>
      </w:r>
      <w:r>
        <w:rPr>
          <w:rFonts w:hint="eastAsia" w:ascii="仿宋_GB2312" w:hAnsi="Times New Roman" w:eastAsia="仿宋_GB2312" w:cs="仿宋_GB2312"/>
          <w:b w:val="0"/>
          <w:bCs w:val="0"/>
          <w:color w:val="auto"/>
          <w:sz w:val="32"/>
          <w:szCs w:val="32"/>
          <w:highlight w:val="none"/>
          <w:lang w:eastAsia="zh-CN"/>
        </w:rPr>
        <w:t>。</w:t>
      </w:r>
    </w:p>
    <w:p>
      <w:pPr>
        <w:pStyle w:val="15"/>
        <w:spacing w:line="580" w:lineRule="exact"/>
        <w:ind w:left="4" w:leftChars="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（二）说明</w:t>
      </w:r>
    </w:p>
    <w:p>
      <w:pPr>
        <w:spacing w:line="580" w:lineRule="exact"/>
        <w:ind w:left="4" w:leftChars="0" w:firstLine="640" w:firstLineChars="200"/>
        <w:rPr>
          <w:rFonts w:ascii="仿宋_GB2312"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技术交易的实际完成时间应不早于申报</w:t>
      </w:r>
      <w:r>
        <w:rPr>
          <w:rFonts w:hint="eastAsia" w:ascii="仿宋_GB2312" w:hAnsi="Times New Roman" w:eastAsia="仿宋_GB2312" w:cs="仿宋"/>
          <w:b w:val="0"/>
          <w:bCs w:val="0"/>
          <w:color w:val="auto"/>
          <w:sz w:val="32"/>
          <w:szCs w:val="32"/>
          <w:highlight w:val="none"/>
        </w:rPr>
        <w:t>年度向前追溯</w:t>
      </w:r>
      <w:r>
        <w:rPr>
          <w:rFonts w:hint="eastAsia" w:ascii="仿宋_GB2312" w:hAnsi="Times New Roman" w:eastAsia="仿宋_GB2312" w:cs="仿宋"/>
          <w:b w:val="0"/>
          <w:bCs w:val="0"/>
          <w:color w:val="auto"/>
          <w:sz w:val="32"/>
          <w:szCs w:val="32"/>
          <w:highlight w:val="none"/>
          <w:lang w:eastAsia="zh-CN"/>
        </w:rPr>
        <w:t>5</w:t>
      </w:r>
      <w:r>
        <w:rPr>
          <w:rFonts w:hint="eastAsia" w:ascii="仿宋_GB2312" w:hAnsi="Times New Roman" w:eastAsia="仿宋_GB2312" w:cs="仿宋"/>
          <w:b w:val="0"/>
          <w:bCs w:val="0"/>
          <w:color w:val="auto"/>
          <w:sz w:val="32"/>
          <w:szCs w:val="32"/>
          <w:highlight w:val="none"/>
        </w:rPr>
        <w:t>年，首次产业化时间在政策兑现年度内。</w:t>
      </w:r>
    </w:p>
    <w:p>
      <w:pPr>
        <w:spacing w:line="580" w:lineRule="exact"/>
        <w:ind w:left="4" w:leftChars="0"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第</w:t>
      </w:r>
      <w:r>
        <w:rPr>
          <w:rFonts w:ascii="仿宋_GB2312" w:hAnsi="Times New Roman" w:eastAsia="仿宋_GB2312" w:cs="仿宋_GB2312"/>
          <w:b w:val="0"/>
          <w:bCs w:val="0"/>
          <w:color w:val="auto"/>
          <w:sz w:val="32"/>
          <w:szCs w:val="32"/>
          <w:highlight w:val="none"/>
        </w:rPr>
        <w:t>七</w:t>
      </w:r>
      <w:r>
        <w:rPr>
          <w:rFonts w:hint="eastAsia" w:ascii="仿宋_GB2312" w:hAnsi="Times New Roman" w:eastAsia="仿宋_GB2312" w:cs="仿宋_GB2312"/>
          <w:b w:val="0"/>
          <w:bCs w:val="0"/>
          <w:color w:val="auto"/>
          <w:sz w:val="32"/>
          <w:szCs w:val="32"/>
          <w:highlight w:val="none"/>
        </w:rPr>
        <w:t>条  培育新业态新模式</w:t>
      </w:r>
    </w:p>
    <w:p>
      <w:pPr>
        <w:pStyle w:val="15"/>
        <w:spacing w:line="580" w:lineRule="exact"/>
        <w:ind w:left="4" w:leftChars="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（一）支持对象和标准</w:t>
      </w:r>
    </w:p>
    <w:p>
      <w:pPr>
        <w:spacing w:line="580" w:lineRule="exact"/>
        <w:ind w:left="4" w:leftChars="0"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1.应用基础平台奖励：政策执行期内在本市新增建设的生物医药合同研发机构（CRO）、合同生产机构（CMO）、合同研发生产机构（CDMO）等产业应用基础平台，按照不超过固定资产投资40%的标准，给予最高不超过5000万元补助。</w:t>
      </w:r>
    </w:p>
    <w:p>
      <w:pPr>
        <w:spacing w:line="580" w:lineRule="exact"/>
        <w:ind w:left="4" w:leftChars="0"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2.受托生产奖励：生物医药企业按照药品上市许可持有人制度、医疗器械注册人制度受托生产，且与委托双方须非关联且无投资关系的，对受托生产方生产的单个品种，按照不超过年度新增实际合同交易金额</w:t>
      </w:r>
      <w:r>
        <w:rPr>
          <w:rFonts w:ascii="仿宋_GB2312" w:hAnsi="Times New Roman" w:eastAsia="仿宋_GB2312" w:cs="仿宋_GB2312"/>
          <w:b w:val="0"/>
          <w:bCs w:val="0"/>
          <w:color w:val="auto"/>
          <w:sz w:val="32"/>
          <w:szCs w:val="32"/>
          <w:highlight w:val="none"/>
        </w:rPr>
        <w:t>10%的标准，最高不超过500万元的资助。单个企业每年资助最高不超过1000万元。</w:t>
      </w:r>
    </w:p>
    <w:p>
      <w:pPr>
        <w:spacing w:line="580" w:lineRule="exact"/>
        <w:ind w:left="4" w:leftChars="0"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3.生物医药合同研发机构（CRO）服务奖励：向非关联且无投资关系的生物医药企业或机构提供服务的CRO，且CRO相关业务年度营业收入2000万元以上的，按照不超过实际提供服务金额10%的标准给予奖励，单个企业最高不超过500万元。</w:t>
      </w:r>
    </w:p>
    <w:p>
      <w:pPr>
        <w:pStyle w:val="15"/>
        <w:spacing w:line="580" w:lineRule="exact"/>
        <w:ind w:left="4" w:leftChars="0" w:firstLine="640" w:firstLineChars="200"/>
        <w:rPr>
          <w:rFonts w:hint="eastAsia" w:ascii="仿宋_GB2312" w:eastAsia="仿宋_GB2312" w:cs="仿宋_GB2312"/>
          <w:b w:val="0"/>
          <w:bCs w:val="0"/>
          <w:color w:val="auto"/>
          <w:sz w:val="32"/>
          <w:szCs w:val="32"/>
          <w:highlight w:val="none"/>
          <w:lang w:eastAsia="zh-CN"/>
        </w:rPr>
      </w:pPr>
      <w:r>
        <w:rPr>
          <w:rFonts w:hint="eastAsia" w:ascii="仿宋_GB2312" w:eastAsia="仿宋_GB2312" w:cs="仿宋_GB2312"/>
          <w:b w:val="0"/>
          <w:bCs w:val="0"/>
          <w:color w:val="auto"/>
          <w:sz w:val="32"/>
          <w:szCs w:val="32"/>
          <w:highlight w:val="none"/>
        </w:rPr>
        <w:t>（二）</w:t>
      </w:r>
      <w:r>
        <w:rPr>
          <w:rFonts w:hint="eastAsia" w:ascii="仿宋_GB2312" w:eastAsia="仿宋_GB2312" w:cs="仿宋_GB2312"/>
          <w:b w:val="0"/>
          <w:bCs w:val="0"/>
          <w:color w:val="auto"/>
          <w:sz w:val="32"/>
          <w:szCs w:val="32"/>
          <w:highlight w:val="none"/>
          <w:lang w:eastAsia="zh-CN"/>
        </w:rPr>
        <w:t>说明</w:t>
      </w:r>
    </w:p>
    <w:p>
      <w:pPr>
        <w:spacing w:line="580" w:lineRule="exact"/>
        <w:ind w:left="4" w:leftChars="0" w:firstLine="640" w:firstLineChars="200"/>
        <w:rPr>
          <w:rFonts w:hint="eastAsia"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lang w:eastAsia="zh-CN"/>
        </w:rPr>
        <w:t>应用基础平台奖励由市科技局</w:t>
      </w:r>
      <w:r>
        <w:rPr>
          <w:rFonts w:hint="eastAsia" w:ascii="仿宋_GB2312" w:hAnsi="Times New Roman" w:eastAsia="仿宋_GB2312" w:cs="仿宋_GB2312"/>
          <w:b w:val="0"/>
          <w:bCs w:val="0"/>
          <w:color w:val="auto"/>
          <w:sz w:val="32"/>
          <w:szCs w:val="32"/>
          <w:highlight w:val="none"/>
          <w:lang w:val="en-US" w:eastAsia="zh-CN"/>
        </w:rPr>
        <w:t>按省工信厅的要求组织申报，</w:t>
      </w:r>
      <w:r>
        <w:rPr>
          <w:rFonts w:hint="eastAsia" w:ascii="仿宋_GB2312" w:hAnsi="Times New Roman" w:eastAsia="仿宋_GB2312" w:cs="仿宋_GB2312"/>
          <w:b w:val="0"/>
          <w:bCs w:val="0"/>
          <w:i w:val="0"/>
          <w:caps w:val="0"/>
          <w:color w:val="auto"/>
          <w:spacing w:val="0"/>
          <w:sz w:val="32"/>
          <w:szCs w:val="32"/>
          <w:highlight w:val="none"/>
          <w:shd w:val="clear" w:color="auto" w:fill="auto"/>
        </w:rPr>
        <w:t>补助资金由</w:t>
      </w:r>
      <w:r>
        <w:rPr>
          <w:rFonts w:hint="eastAsia" w:ascii="仿宋_GB2312" w:hAnsi="Times New Roman" w:eastAsia="仿宋_GB2312" w:cs="仿宋_GB2312"/>
          <w:b w:val="0"/>
          <w:bCs w:val="0"/>
          <w:i w:val="0"/>
          <w:caps w:val="0"/>
          <w:color w:val="auto"/>
          <w:spacing w:val="0"/>
          <w:sz w:val="32"/>
          <w:szCs w:val="32"/>
          <w:highlight w:val="none"/>
          <w:shd w:val="clear"/>
        </w:rPr>
        <w:t>省、市财政各承担50%</w:t>
      </w:r>
      <w:r>
        <w:rPr>
          <w:rFonts w:hint="eastAsia" w:ascii="仿宋_GB2312" w:hAnsi="Times New Roman" w:eastAsia="仿宋_GB2312" w:cs="仿宋_GB2312"/>
          <w:b w:val="0"/>
          <w:bCs w:val="0"/>
          <w:color w:val="auto"/>
          <w:sz w:val="32"/>
          <w:szCs w:val="32"/>
          <w:highlight w:val="none"/>
          <w:lang w:val="en-US" w:eastAsia="zh-CN"/>
        </w:rPr>
        <w:t>。</w:t>
      </w:r>
    </w:p>
    <w:p>
      <w:pPr>
        <w:spacing w:line="580" w:lineRule="exact"/>
        <w:ind w:left="4" w:leftChars="0"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第</w:t>
      </w:r>
      <w:r>
        <w:rPr>
          <w:rFonts w:ascii="仿宋_GB2312" w:hAnsi="Times New Roman" w:eastAsia="仿宋_GB2312" w:cs="仿宋_GB2312"/>
          <w:b w:val="0"/>
          <w:bCs w:val="0"/>
          <w:color w:val="auto"/>
          <w:sz w:val="32"/>
          <w:szCs w:val="32"/>
          <w:highlight w:val="none"/>
        </w:rPr>
        <w:t>八</w:t>
      </w:r>
      <w:r>
        <w:rPr>
          <w:rFonts w:hint="eastAsia" w:ascii="仿宋_GB2312" w:hAnsi="Times New Roman" w:eastAsia="仿宋_GB2312" w:cs="仿宋_GB2312"/>
          <w:b w:val="0"/>
          <w:bCs w:val="0"/>
          <w:color w:val="auto"/>
          <w:sz w:val="32"/>
          <w:szCs w:val="32"/>
          <w:highlight w:val="none"/>
        </w:rPr>
        <w:t>条  加强临床资源供给</w:t>
      </w:r>
    </w:p>
    <w:p>
      <w:pPr>
        <w:pStyle w:val="15"/>
        <w:spacing w:line="580" w:lineRule="exact"/>
        <w:ind w:left="4" w:leftChars="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（一）支持对象和标准</w:t>
      </w:r>
    </w:p>
    <w:p>
      <w:pPr>
        <w:spacing w:line="580" w:lineRule="exact"/>
        <w:ind w:left="4" w:leftChars="0" w:firstLine="640" w:firstLineChars="200"/>
        <w:rPr>
          <w:rFonts w:hint="eastAsia"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1.</w:t>
      </w:r>
      <w:r>
        <w:rPr>
          <w:rFonts w:hint="eastAsia" w:ascii="仿宋_GB2312" w:eastAsia="仿宋_GB2312" w:cs="仿宋_GB2312"/>
          <w:b w:val="0"/>
          <w:bCs w:val="0"/>
          <w:color w:val="auto"/>
          <w:sz w:val="32"/>
          <w:szCs w:val="32"/>
          <w:highlight w:val="none"/>
        </w:rPr>
        <w:t>临床试验机构资格认定</w:t>
      </w:r>
      <w:r>
        <w:rPr>
          <w:rFonts w:hint="eastAsia" w:ascii="仿宋_GB2312" w:hAnsi="Times New Roman" w:eastAsia="仿宋_GB2312" w:cs="仿宋_GB2312"/>
          <w:b w:val="0"/>
          <w:bCs w:val="0"/>
          <w:color w:val="auto"/>
          <w:sz w:val="32"/>
          <w:szCs w:val="32"/>
          <w:highlight w:val="none"/>
        </w:rPr>
        <w:t>奖励：医疗机构</w:t>
      </w:r>
      <w:r>
        <w:rPr>
          <w:rFonts w:hint="eastAsia" w:ascii="仿宋_GB2312" w:hAnsi="Times New Roman" w:eastAsia="仿宋_GB2312" w:cs="仿宋"/>
          <w:b w:val="0"/>
          <w:bCs w:val="0"/>
          <w:color w:val="auto"/>
          <w:sz w:val="32"/>
          <w:szCs w:val="32"/>
          <w:highlight w:val="none"/>
        </w:rPr>
        <w:t>政策兑现年度内</w:t>
      </w:r>
      <w:r>
        <w:rPr>
          <w:rFonts w:hint="eastAsia" w:ascii="仿宋_GB2312" w:hAnsi="Times New Roman" w:eastAsia="仿宋_GB2312" w:cs="仿宋_GB2312"/>
          <w:b w:val="0"/>
          <w:bCs w:val="0"/>
          <w:color w:val="auto"/>
          <w:sz w:val="32"/>
          <w:szCs w:val="32"/>
          <w:highlight w:val="none"/>
        </w:rPr>
        <w:t>每新增</w:t>
      </w:r>
      <w:r>
        <w:rPr>
          <w:rFonts w:ascii="仿宋_GB2312" w:hAnsi="Times New Roman" w:eastAsia="仿宋_GB2312" w:cs="仿宋_GB2312"/>
          <w:b w:val="0"/>
          <w:bCs w:val="0"/>
          <w:color w:val="auto"/>
          <w:sz w:val="32"/>
          <w:szCs w:val="32"/>
          <w:highlight w:val="none"/>
        </w:rPr>
        <w:t>1</w:t>
      </w:r>
      <w:r>
        <w:rPr>
          <w:rFonts w:hint="eastAsia" w:ascii="仿宋_GB2312" w:hAnsi="Times New Roman" w:eastAsia="仿宋_GB2312" w:cs="仿宋_GB2312"/>
          <w:b w:val="0"/>
          <w:bCs w:val="0"/>
          <w:color w:val="auto"/>
          <w:sz w:val="32"/>
          <w:szCs w:val="32"/>
          <w:highlight w:val="none"/>
        </w:rPr>
        <w:t>个</w:t>
      </w:r>
      <w:r>
        <w:rPr>
          <w:rFonts w:hint="eastAsia" w:ascii="仿宋_GB2312" w:hAnsi="仿宋_GB2312" w:eastAsia="仿宋_GB2312" w:cs="仿宋_GB2312"/>
          <w:b w:val="0"/>
          <w:bCs w:val="0"/>
          <w:color w:val="auto"/>
          <w:sz w:val="32"/>
          <w:szCs w:val="32"/>
          <w:highlight w:val="none"/>
        </w:rPr>
        <w:t>临床试验质量管理规范（GCP）专业学科</w:t>
      </w:r>
      <w:r>
        <w:rPr>
          <w:rFonts w:hint="eastAsia" w:ascii="仿宋_GB2312" w:hAnsi="Times New Roman" w:eastAsia="仿宋_GB2312" w:cs="仿宋_GB2312"/>
          <w:b w:val="0"/>
          <w:bCs w:val="0"/>
          <w:color w:val="auto"/>
          <w:sz w:val="32"/>
          <w:szCs w:val="32"/>
          <w:highlight w:val="none"/>
        </w:rPr>
        <w:t>，给予20万元奖励，每个医疗机构每年最高不超过100万元；</w:t>
      </w:r>
    </w:p>
    <w:p>
      <w:pPr>
        <w:spacing w:line="580" w:lineRule="exact"/>
        <w:ind w:left="4" w:leftChars="0"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2.临床试验奖励：医疗机构服务生物医药</w:t>
      </w:r>
      <w:r>
        <w:rPr>
          <w:rFonts w:hint="eastAsia" w:ascii="仿宋_GB2312" w:hAnsi="Times New Roman" w:eastAsia="仿宋_GB2312" w:cs="仿宋_GB2312"/>
          <w:b w:val="0"/>
          <w:bCs w:val="0"/>
          <w:color w:val="auto"/>
          <w:sz w:val="32"/>
          <w:szCs w:val="32"/>
          <w:highlight w:val="none"/>
          <w:lang w:eastAsia="zh-CN"/>
        </w:rPr>
        <w:t>产业</w:t>
      </w:r>
      <w:r>
        <w:rPr>
          <w:rFonts w:hint="eastAsia" w:ascii="仿宋_GB2312" w:hAnsi="Times New Roman" w:eastAsia="仿宋_GB2312" w:cs="仿宋_GB2312"/>
          <w:b w:val="0"/>
          <w:bCs w:val="0"/>
          <w:color w:val="auto"/>
          <w:sz w:val="32"/>
          <w:szCs w:val="32"/>
          <w:highlight w:val="none"/>
        </w:rPr>
        <w:t>或牵头全国多中心</w:t>
      </w:r>
      <w:r>
        <w:rPr>
          <w:rFonts w:hint="eastAsia" w:ascii="仿宋_GB2312" w:hAnsi="Times New Roman" w:eastAsia="仿宋_GB2312" w:cs="仿宋_GB2312"/>
          <w:b w:val="0"/>
          <w:bCs w:val="0"/>
          <w:color w:val="auto"/>
          <w:sz w:val="32"/>
          <w:szCs w:val="32"/>
          <w:highlight w:val="none"/>
          <w:lang w:eastAsia="zh-CN"/>
        </w:rPr>
        <w:t>开展的</w:t>
      </w:r>
      <w:r>
        <w:rPr>
          <w:rFonts w:hint="eastAsia" w:ascii="仿宋_GB2312" w:hAnsi="Times New Roman" w:eastAsia="仿宋_GB2312" w:cs="仿宋_GB2312"/>
          <w:b w:val="0"/>
          <w:bCs w:val="0"/>
          <w:color w:val="auto"/>
          <w:sz w:val="32"/>
          <w:szCs w:val="32"/>
          <w:highlight w:val="none"/>
        </w:rPr>
        <w:t>临床试验</w:t>
      </w:r>
      <w:r>
        <w:rPr>
          <w:rFonts w:hint="eastAsia" w:ascii="仿宋_GB2312" w:hAnsi="Times New Roman" w:eastAsia="仿宋_GB2312" w:cs="仿宋_GB2312"/>
          <w:b w:val="0"/>
          <w:bCs w:val="0"/>
          <w:color w:val="auto"/>
          <w:sz w:val="32"/>
          <w:szCs w:val="32"/>
          <w:highlight w:val="none"/>
          <w:lang w:eastAsia="zh-CN"/>
        </w:rPr>
        <w:t>，</w:t>
      </w:r>
      <w:r>
        <w:rPr>
          <w:rFonts w:hint="eastAsia" w:ascii="仿宋_GB2312" w:hAnsi="Times New Roman" w:eastAsia="仿宋_GB2312" w:cs="仿宋_GB2312"/>
          <w:b w:val="0"/>
          <w:bCs w:val="0"/>
          <w:color w:val="auto"/>
          <w:sz w:val="32"/>
          <w:szCs w:val="32"/>
          <w:highlight w:val="none"/>
        </w:rPr>
        <w:t>按</w:t>
      </w:r>
      <w:r>
        <w:rPr>
          <w:rFonts w:hint="eastAsia" w:ascii="仿宋_GB2312" w:hAnsi="Times New Roman" w:eastAsia="仿宋_GB2312" w:cs="仿宋"/>
          <w:b w:val="0"/>
          <w:bCs w:val="0"/>
          <w:color w:val="auto"/>
          <w:sz w:val="32"/>
          <w:szCs w:val="32"/>
          <w:highlight w:val="none"/>
        </w:rPr>
        <w:t>政策兑现年度内</w:t>
      </w:r>
      <w:r>
        <w:rPr>
          <w:rFonts w:hint="eastAsia" w:ascii="仿宋_GB2312" w:hAnsi="Times New Roman" w:eastAsia="仿宋_GB2312" w:cs="仿宋_GB2312"/>
          <w:b w:val="0"/>
          <w:bCs w:val="0"/>
          <w:color w:val="auto"/>
          <w:sz w:val="32"/>
          <w:szCs w:val="32"/>
          <w:highlight w:val="none"/>
        </w:rPr>
        <w:t>实际服务收入10%的标准给予奖励，每个医疗机构最高不超过200万元。</w:t>
      </w:r>
    </w:p>
    <w:p>
      <w:pPr>
        <w:pStyle w:val="15"/>
        <w:spacing w:line="580" w:lineRule="exact"/>
        <w:ind w:left="4" w:leftChars="0" w:firstLine="640" w:firstLineChars="200"/>
        <w:rPr>
          <w:rFonts w:hint="eastAsia" w:ascii="仿宋_GB2312" w:eastAsia="仿宋_GB2312" w:cs="仿宋_GB2312"/>
          <w:b w:val="0"/>
          <w:bCs w:val="0"/>
          <w:color w:val="auto"/>
          <w:sz w:val="32"/>
          <w:szCs w:val="32"/>
          <w:highlight w:val="none"/>
          <w:lang w:eastAsia="zh-CN"/>
        </w:rPr>
      </w:pPr>
      <w:r>
        <w:rPr>
          <w:rFonts w:hint="eastAsia" w:ascii="仿宋_GB2312" w:eastAsia="仿宋_GB2312" w:cs="仿宋_GB2312"/>
          <w:b w:val="0"/>
          <w:bCs w:val="0"/>
          <w:color w:val="auto"/>
          <w:sz w:val="32"/>
          <w:szCs w:val="32"/>
          <w:highlight w:val="none"/>
        </w:rPr>
        <w:t>（二）</w:t>
      </w:r>
      <w:r>
        <w:rPr>
          <w:rFonts w:hint="eastAsia" w:ascii="仿宋_GB2312" w:eastAsia="仿宋_GB2312" w:cs="仿宋_GB2312"/>
          <w:b w:val="0"/>
          <w:bCs w:val="0"/>
          <w:color w:val="auto"/>
          <w:sz w:val="32"/>
          <w:szCs w:val="32"/>
          <w:highlight w:val="none"/>
          <w:lang w:eastAsia="zh-CN"/>
        </w:rPr>
        <w:t>说明</w:t>
      </w:r>
    </w:p>
    <w:p>
      <w:pPr>
        <w:pStyle w:val="15"/>
        <w:spacing w:line="580" w:lineRule="exact"/>
        <w:ind w:left="4" w:leftChars="0" w:firstLine="640" w:firstLineChars="200"/>
        <w:rPr>
          <w:rFonts w:hint="eastAsia" w:asci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G</w:t>
      </w:r>
      <w:r>
        <w:rPr>
          <w:rFonts w:ascii="仿宋_GB2312" w:hAnsi="仿宋_GB2312" w:eastAsia="仿宋_GB2312" w:cs="仿宋_GB2312"/>
          <w:b w:val="0"/>
          <w:bCs w:val="0"/>
          <w:color w:val="auto"/>
          <w:sz w:val="32"/>
          <w:szCs w:val="32"/>
          <w:highlight w:val="none"/>
        </w:rPr>
        <w:t>CP</w:t>
      </w:r>
      <w:r>
        <w:rPr>
          <w:rFonts w:hint="eastAsia" w:ascii="仿宋_GB2312" w:hAnsi="仿宋_GB2312" w:eastAsia="仿宋_GB2312" w:cs="仿宋_GB2312"/>
          <w:b w:val="0"/>
          <w:bCs w:val="0"/>
          <w:color w:val="auto"/>
          <w:sz w:val="32"/>
          <w:szCs w:val="32"/>
          <w:highlight w:val="none"/>
        </w:rPr>
        <w:t>专业学科含遵循临床</w:t>
      </w:r>
      <w:r>
        <w:rPr>
          <w:rFonts w:hint="eastAsia" w:ascii="仿宋_GB2312" w:hAnsi="仿宋_GB2312" w:eastAsia="仿宋_GB2312" w:cs="仿宋_GB2312"/>
          <w:b w:val="0"/>
          <w:bCs w:val="0"/>
          <w:color w:val="auto"/>
          <w:sz w:val="32"/>
          <w:szCs w:val="32"/>
          <w:highlight w:val="none"/>
          <w:lang w:val="en-US" w:eastAsia="zh-CN"/>
        </w:rPr>
        <w:t>试</w:t>
      </w:r>
      <w:r>
        <w:rPr>
          <w:rFonts w:hint="eastAsia" w:ascii="仿宋_GB2312" w:hAnsi="仿宋_GB2312" w:eastAsia="仿宋_GB2312" w:cs="仿宋_GB2312"/>
          <w:b w:val="0"/>
          <w:bCs w:val="0"/>
          <w:color w:val="auto"/>
          <w:sz w:val="32"/>
          <w:szCs w:val="32"/>
          <w:highlight w:val="none"/>
        </w:rPr>
        <w:t>验管理规范指导原则执行的药物</w:t>
      </w:r>
      <w:r>
        <w:rPr>
          <w:rFonts w:ascii="仿宋_GB2312" w:hAnsi="仿宋_GB2312" w:eastAsia="仿宋_GB2312" w:cs="仿宋_GB2312"/>
          <w:b w:val="0"/>
          <w:bCs w:val="0"/>
          <w:color w:val="auto"/>
          <w:sz w:val="32"/>
          <w:szCs w:val="32"/>
          <w:highlight w:val="none"/>
        </w:rPr>
        <w:t>GCP</w:t>
      </w:r>
      <w:r>
        <w:rPr>
          <w:rFonts w:hint="eastAsia" w:ascii="仿宋_GB2312" w:hAnsi="仿宋_GB2312" w:eastAsia="仿宋_GB2312" w:cs="仿宋_GB2312"/>
          <w:b w:val="0"/>
          <w:bCs w:val="0"/>
          <w:color w:val="auto"/>
          <w:sz w:val="32"/>
          <w:szCs w:val="32"/>
          <w:highlight w:val="none"/>
        </w:rPr>
        <w:t>、医疗器械</w:t>
      </w:r>
      <w:r>
        <w:rPr>
          <w:rFonts w:ascii="仿宋_GB2312" w:hAnsi="仿宋_GB2312" w:eastAsia="仿宋_GB2312" w:cs="仿宋_GB2312"/>
          <w:b w:val="0"/>
          <w:bCs w:val="0"/>
          <w:color w:val="auto"/>
          <w:sz w:val="32"/>
          <w:szCs w:val="32"/>
          <w:highlight w:val="none"/>
        </w:rPr>
        <w:t>GCP</w:t>
      </w:r>
      <w:r>
        <w:rPr>
          <w:rFonts w:hint="eastAsia" w:ascii="仿宋_GB2312" w:hAnsi="仿宋_GB2312" w:eastAsia="仿宋_GB2312" w:cs="仿宋_GB2312"/>
          <w:b w:val="0"/>
          <w:bCs w:val="0"/>
          <w:color w:val="auto"/>
          <w:sz w:val="32"/>
          <w:szCs w:val="32"/>
          <w:highlight w:val="none"/>
        </w:rPr>
        <w:t>以及特殊医学用途配方食品</w:t>
      </w:r>
      <w:r>
        <w:rPr>
          <w:rFonts w:ascii="仿宋_GB2312" w:hAnsi="仿宋_GB2312" w:eastAsia="仿宋_GB2312" w:cs="仿宋_GB2312"/>
          <w:b w:val="0"/>
          <w:bCs w:val="0"/>
          <w:color w:val="auto"/>
          <w:sz w:val="32"/>
          <w:szCs w:val="32"/>
          <w:highlight w:val="none"/>
        </w:rPr>
        <w:t>GCP</w:t>
      </w:r>
      <w:r>
        <w:rPr>
          <w:rFonts w:hint="eastAsia" w:ascii="仿宋_GB2312" w:hAnsi="仿宋_GB2312" w:eastAsia="仿宋_GB2312" w:cs="仿宋_GB2312"/>
          <w:b w:val="0"/>
          <w:bCs w:val="0"/>
          <w:color w:val="auto"/>
          <w:sz w:val="32"/>
          <w:szCs w:val="32"/>
          <w:highlight w:val="none"/>
        </w:rPr>
        <w:t>。</w:t>
      </w:r>
    </w:p>
    <w:p>
      <w:pPr>
        <w:spacing w:line="580" w:lineRule="exact"/>
        <w:ind w:left="4" w:leftChars="0" w:firstLine="640" w:firstLineChars="200"/>
        <w:rPr>
          <w:rFonts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第</w:t>
      </w:r>
      <w:r>
        <w:rPr>
          <w:rFonts w:hint="eastAsia" w:ascii="仿宋_GB2312" w:hAnsi="Times New Roman" w:eastAsia="仿宋_GB2312" w:cs="仿宋_GB2312"/>
          <w:b w:val="0"/>
          <w:bCs w:val="0"/>
          <w:color w:val="auto"/>
          <w:sz w:val="32"/>
          <w:szCs w:val="32"/>
          <w:highlight w:val="none"/>
          <w:lang w:eastAsia="zh-CN"/>
        </w:rPr>
        <w:t>九</w:t>
      </w:r>
      <w:r>
        <w:rPr>
          <w:rFonts w:hint="eastAsia" w:ascii="仿宋_GB2312" w:hAnsi="Times New Roman" w:eastAsia="仿宋_GB2312" w:cs="仿宋_GB2312"/>
          <w:b w:val="0"/>
          <w:bCs w:val="0"/>
          <w:color w:val="auto"/>
          <w:sz w:val="32"/>
          <w:szCs w:val="32"/>
          <w:highlight w:val="none"/>
        </w:rPr>
        <w:t>条</w:t>
      </w:r>
      <w:r>
        <w:rPr>
          <w:rFonts w:hint="eastAsia" w:ascii="仿宋_GB2312" w:hAnsi="Times New Roman" w:eastAsia="仿宋_GB2312" w:cs="仿宋_GB2312"/>
          <w:b w:val="0"/>
          <w:bCs w:val="0"/>
          <w:color w:val="auto"/>
          <w:sz w:val="32"/>
          <w:szCs w:val="32"/>
          <w:highlight w:val="none"/>
          <w:lang w:val="en-US" w:eastAsia="zh-CN"/>
        </w:rPr>
        <w:t xml:space="preserve"> </w:t>
      </w:r>
      <w:r>
        <w:rPr>
          <w:rFonts w:hint="eastAsia" w:ascii="仿宋_GB2312" w:hAnsi="Times New Roman" w:eastAsia="仿宋_GB2312" w:cs="仿宋_GB2312"/>
          <w:b w:val="0"/>
          <w:bCs w:val="0"/>
          <w:color w:val="auto"/>
          <w:sz w:val="32"/>
          <w:szCs w:val="32"/>
          <w:highlight w:val="none"/>
        </w:rPr>
        <w:t>强化产业人才支撑</w:t>
      </w:r>
    </w:p>
    <w:p>
      <w:pPr>
        <w:pStyle w:val="15"/>
        <w:spacing w:line="580" w:lineRule="exact"/>
        <w:ind w:left="4" w:leftChars="0" w:firstLine="640" w:firstLineChars="200"/>
        <w:rPr>
          <w:rFonts w:ascii="仿宋_GB2312" w:eastAsia="仿宋_GB2312" w:cs="仿宋_GB2312"/>
          <w:b w:val="0"/>
          <w:bCs w:val="0"/>
          <w:color w:val="auto"/>
          <w:sz w:val="32"/>
          <w:szCs w:val="32"/>
          <w:highlight w:val="none"/>
        </w:rPr>
      </w:pPr>
      <w:r>
        <w:rPr>
          <w:rFonts w:hint="eastAsia" w:ascii="仿宋_GB2312" w:eastAsia="仿宋_GB2312" w:cs="仿宋_GB2312"/>
          <w:b w:val="0"/>
          <w:bCs w:val="0"/>
          <w:color w:val="auto"/>
          <w:sz w:val="32"/>
          <w:szCs w:val="32"/>
          <w:highlight w:val="none"/>
        </w:rPr>
        <w:t>（一）支持对象和标准</w:t>
      </w:r>
    </w:p>
    <w:p>
      <w:pPr>
        <w:pStyle w:val="4"/>
        <w:suppressAutoHyphens/>
        <w:snapToGrid w:val="0"/>
        <w:spacing w:after="0" w:line="580" w:lineRule="exact"/>
        <w:ind w:left="4" w:leftChars="0" w:firstLine="640" w:firstLineChars="200"/>
        <w:rPr>
          <w:rFonts w:ascii="仿宋_GB2312" w:hAnsi="仿宋_GB2312" w:eastAsia="仿宋_GB2312" w:cs="仿宋_GB2312"/>
          <w:b w:val="0"/>
          <w:bCs w:val="0"/>
          <w:snapToGrid w:val="0"/>
          <w:color w:val="auto"/>
          <w:kern w:val="0"/>
          <w:highlight w:val="none"/>
        </w:rPr>
      </w:pPr>
      <w:r>
        <w:rPr>
          <w:rFonts w:hint="eastAsia" w:ascii="仿宋_GB2312" w:eastAsia="仿宋_GB2312" w:cs="仿宋_GB2312"/>
          <w:b w:val="0"/>
          <w:bCs w:val="0"/>
          <w:color w:val="auto"/>
          <w:sz w:val="32"/>
          <w:szCs w:val="32"/>
          <w:highlight w:val="none"/>
          <w:u w:val="none"/>
        </w:rPr>
        <w:t>对生物医药企业</w:t>
      </w:r>
      <w:r>
        <w:rPr>
          <w:rFonts w:hint="eastAsia" w:ascii="仿宋_GB2312" w:eastAsia="仿宋_GB2312" w:cs="仿宋_GB2312"/>
          <w:b w:val="0"/>
          <w:bCs w:val="0"/>
          <w:color w:val="auto"/>
          <w:highlight w:val="none"/>
        </w:rPr>
        <w:t>近3年引进的</w:t>
      </w:r>
      <w:r>
        <w:rPr>
          <w:rFonts w:hint="eastAsia" w:ascii="仿宋_GB2312" w:eastAsia="仿宋_GB2312" w:cs="仿宋_GB2312"/>
          <w:b w:val="0"/>
          <w:bCs w:val="0"/>
          <w:color w:val="auto"/>
          <w:sz w:val="32"/>
          <w:szCs w:val="32"/>
          <w:highlight w:val="none"/>
          <w:u w:val="none"/>
        </w:rPr>
        <w:t>研发、生产及管理人才，</w:t>
      </w:r>
      <w:r>
        <w:rPr>
          <w:rFonts w:hint="eastAsia" w:ascii="仿宋_GB2312" w:eastAsia="仿宋_GB2312" w:cs="仿宋_GB2312"/>
          <w:b w:val="0"/>
          <w:bCs w:val="0"/>
          <w:color w:val="auto"/>
          <w:highlight w:val="none"/>
        </w:rPr>
        <w:t>经评审</w:t>
      </w:r>
      <w:r>
        <w:rPr>
          <w:rFonts w:hint="eastAsia" w:ascii="仿宋_GB2312" w:eastAsia="仿宋_GB2312" w:cs="仿宋_GB2312"/>
          <w:b w:val="0"/>
          <w:bCs w:val="0"/>
          <w:color w:val="auto"/>
          <w:highlight w:val="none"/>
          <w:lang w:val="en-US" w:eastAsia="zh-CN"/>
        </w:rPr>
        <w:t>，择优分三层次</w:t>
      </w:r>
      <w:r>
        <w:rPr>
          <w:rFonts w:hint="eastAsia" w:ascii="仿宋_GB2312" w:eastAsia="仿宋_GB2312" w:cs="仿宋_GB2312"/>
          <w:b w:val="0"/>
          <w:bCs w:val="0"/>
          <w:color w:val="auto"/>
          <w:highlight w:val="none"/>
        </w:rPr>
        <w:t>分别给予</w:t>
      </w:r>
      <w:r>
        <w:rPr>
          <w:rFonts w:ascii="仿宋_GB2312" w:eastAsia="仿宋_GB2312" w:cs="仿宋_GB2312"/>
          <w:b w:val="0"/>
          <w:bCs w:val="0"/>
          <w:color w:val="auto"/>
          <w:highlight w:val="none"/>
        </w:rPr>
        <w:t>80</w:t>
      </w:r>
      <w:r>
        <w:rPr>
          <w:rFonts w:hint="eastAsia" w:ascii="仿宋_GB2312" w:eastAsia="仿宋_GB2312" w:cs="仿宋_GB2312"/>
          <w:b w:val="0"/>
          <w:bCs w:val="0"/>
          <w:color w:val="auto"/>
          <w:highlight w:val="none"/>
        </w:rPr>
        <w:t>万元、</w:t>
      </w:r>
      <w:r>
        <w:rPr>
          <w:rFonts w:ascii="仿宋_GB2312" w:eastAsia="仿宋_GB2312" w:cs="仿宋_GB2312"/>
          <w:b w:val="0"/>
          <w:bCs w:val="0"/>
          <w:color w:val="auto"/>
          <w:highlight w:val="none"/>
        </w:rPr>
        <w:t>50</w:t>
      </w:r>
      <w:r>
        <w:rPr>
          <w:rFonts w:hint="eastAsia" w:ascii="仿宋_GB2312" w:eastAsia="仿宋_GB2312" w:cs="仿宋_GB2312"/>
          <w:b w:val="0"/>
          <w:bCs w:val="0"/>
          <w:color w:val="auto"/>
          <w:highlight w:val="none"/>
        </w:rPr>
        <w:t>万元、</w:t>
      </w:r>
      <w:r>
        <w:rPr>
          <w:rFonts w:ascii="仿宋_GB2312" w:eastAsia="仿宋_GB2312" w:cs="仿宋_GB2312"/>
          <w:b w:val="0"/>
          <w:bCs w:val="0"/>
          <w:color w:val="auto"/>
          <w:highlight w:val="none"/>
        </w:rPr>
        <w:t>30</w:t>
      </w:r>
      <w:r>
        <w:rPr>
          <w:rFonts w:hint="eastAsia" w:ascii="仿宋_GB2312" w:eastAsia="仿宋_GB2312" w:cs="仿宋_GB2312"/>
          <w:b w:val="0"/>
          <w:bCs w:val="0"/>
          <w:color w:val="auto"/>
          <w:highlight w:val="none"/>
        </w:rPr>
        <w:t>万元补贴，</w:t>
      </w:r>
      <w:r>
        <w:rPr>
          <w:rFonts w:ascii="仿宋_GB2312" w:eastAsia="仿宋_GB2312" w:cs="仿宋_GB2312"/>
          <w:b w:val="0"/>
          <w:bCs w:val="0"/>
          <w:color w:val="auto"/>
          <w:highlight w:val="none"/>
        </w:rPr>
        <w:t>按40%、30%、30%的比例分3年发放</w:t>
      </w:r>
      <w:r>
        <w:rPr>
          <w:rFonts w:hint="eastAsia" w:ascii="仿宋_GB2312" w:eastAsia="仿宋_GB2312" w:cs="仿宋_GB2312"/>
          <w:b w:val="0"/>
          <w:bCs w:val="0"/>
          <w:color w:val="auto"/>
          <w:highlight w:val="none"/>
        </w:rPr>
        <w:t>，</w:t>
      </w:r>
      <w:r>
        <w:rPr>
          <w:rFonts w:hint="eastAsia" w:ascii="仿宋_GB2312" w:eastAsia="仿宋_GB2312" w:cs="仿宋_GB2312"/>
          <w:b w:val="0"/>
          <w:bCs w:val="0"/>
          <w:color w:val="auto"/>
          <w:highlight w:val="none"/>
          <w:lang w:val="en-US" w:eastAsia="zh-CN"/>
        </w:rPr>
        <w:t>人才</w:t>
      </w:r>
      <w:r>
        <w:rPr>
          <w:rFonts w:hint="eastAsia" w:ascii="仿宋_GB2312" w:eastAsia="仿宋_GB2312" w:cs="仿宋_GB2312"/>
          <w:b w:val="0"/>
          <w:bCs w:val="0"/>
          <w:color w:val="auto"/>
          <w:highlight w:val="none"/>
        </w:rPr>
        <w:t>补</w:t>
      </w:r>
      <w:r>
        <w:rPr>
          <w:rFonts w:hint="eastAsia" w:ascii="仿宋_GB2312" w:eastAsia="仿宋_GB2312" w:cs="仿宋_GB2312"/>
          <w:b w:val="0"/>
          <w:bCs w:val="0"/>
          <w:color w:val="auto"/>
          <w:highlight w:val="none"/>
          <w:lang w:val="en-US" w:eastAsia="zh-CN"/>
        </w:rPr>
        <w:t>贴</w:t>
      </w:r>
      <w:r>
        <w:rPr>
          <w:rFonts w:hint="eastAsia" w:ascii="仿宋_GB2312" w:eastAsia="仿宋_GB2312" w:cs="仿宋_GB2312"/>
          <w:b w:val="0"/>
          <w:bCs w:val="0"/>
          <w:color w:val="auto"/>
          <w:highlight w:val="none"/>
        </w:rPr>
        <w:t>50%用于改善人才生活条件，50%用于支持人才开展创新项目工作</w:t>
      </w:r>
      <w:r>
        <w:rPr>
          <w:rFonts w:hint="eastAsia" w:ascii="仿宋_GB2312" w:eastAsia="仿宋_GB2312" w:cs="仿宋_GB2312"/>
          <w:b w:val="0"/>
          <w:bCs w:val="0"/>
          <w:color w:val="auto"/>
          <w:highlight w:val="none"/>
          <w:lang w:val="en-US" w:eastAsia="zh-CN"/>
        </w:rPr>
        <w:t>或改善工作条件</w:t>
      </w:r>
      <w:r>
        <w:rPr>
          <w:rFonts w:ascii="仿宋_GB2312" w:eastAsia="仿宋_GB2312" w:cs="仿宋_GB2312"/>
          <w:b w:val="0"/>
          <w:bCs w:val="0"/>
          <w:color w:val="auto"/>
          <w:highlight w:val="none"/>
        </w:rPr>
        <w:t>。</w:t>
      </w:r>
      <w:r>
        <w:rPr>
          <w:rFonts w:hint="eastAsia" w:ascii="仿宋_GB2312" w:hAnsi="仿宋_GB2312" w:eastAsia="仿宋_GB2312" w:cs="仿宋_GB2312"/>
          <w:b w:val="0"/>
          <w:bCs w:val="0"/>
          <w:snapToGrid w:val="0"/>
          <w:color w:val="auto"/>
          <w:kern w:val="0"/>
          <w:highlight w:val="none"/>
        </w:rPr>
        <w:t>同一企业年度补贴总额不超过200万元。</w:t>
      </w:r>
    </w:p>
    <w:p>
      <w:pPr>
        <w:pStyle w:val="4"/>
        <w:suppressAutoHyphens/>
        <w:snapToGrid w:val="0"/>
        <w:spacing w:after="0" w:line="580" w:lineRule="exact"/>
        <w:ind w:left="4" w:leftChars="0" w:firstLine="640" w:firstLineChars="200"/>
        <w:rPr>
          <w:rFonts w:hint="eastAsia" w:ascii="仿宋_GB2312" w:eastAsia="仿宋_GB2312" w:cs="仿宋_GB2312"/>
          <w:b w:val="0"/>
          <w:bCs w:val="0"/>
          <w:color w:val="auto"/>
          <w:sz w:val="32"/>
          <w:szCs w:val="32"/>
          <w:highlight w:val="none"/>
          <w:u w:val="none"/>
          <w:lang w:val="en-US" w:eastAsia="zh-CN"/>
        </w:rPr>
      </w:pPr>
      <w:r>
        <w:rPr>
          <w:rFonts w:hint="eastAsia" w:ascii="仿宋_GB2312" w:eastAsia="仿宋_GB2312" w:cs="仿宋_GB2312"/>
          <w:b w:val="0"/>
          <w:bCs w:val="0"/>
          <w:color w:val="auto"/>
          <w:sz w:val="32"/>
          <w:szCs w:val="32"/>
          <w:highlight w:val="none"/>
          <w:u w:val="none"/>
          <w:lang w:val="en-US" w:eastAsia="zh-CN"/>
        </w:rPr>
        <w:t>申请</w:t>
      </w:r>
      <w:r>
        <w:rPr>
          <w:rFonts w:hint="eastAsia" w:ascii="仿宋_GB2312" w:eastAsia="仿宋_GB2312" w:cs="仿宋_GB2312"/>
          <w:b w:val="0"/>
          <w:bCs w:val="0"/>
          <w:color w:val="auto"/>
          <w:sz w:val="32"/>
          <w:szCs w:val="32"/>
          <w:highlight w:val="none"/>
          <w:u w:val="none"/>
        </w:rPr>
        <w:t>生物医药产业高端人才</w:t>
      </w:r>
      <w:r>
        <w:rPr>
          <w:rFonts w:hint="eastAsia" w:ascii="仿宋_GB2312" w:eastAsia="仿宋_GB2312" w:cs="仿宋_GB2312"/>
          <w:b w:val="0"/>
          <w:bCs w:val="0"/>
          <w:color w:val="auto"/>
          <w:sz w:val="32"/>
          <w:szCs w:val="32"/>
          <w:highlight w:val="none"/>
          <w:u w:val="none"/>
          <w:lang w:val="en-US" w:eastAsia="zh-CN"/>
        </w:rPr>
        <w:t>评定的应满足以下条件之一：</w:t>
      </w:r>
    </w:p>
    <w:p>
      <w:pPr>
        <w:pStyle w:val="4"/>
        <w:numPr>
          <w:ilvl w:val="0"/>
          <w:numId w:val="0"/>
        </w:numPr>
        <w:suppressAutoHyphens/>
        <w:snapToGrid w:val="0"/>
        <w:spacing w:after="0" w:line="580" w:lineRule="exact"/>
        <w:ind w:left="4" w:leftChars="0" w:firstLine="640" w:firstLineChars="200"/>
        <w:rPr>
          <w:rFonts w:hint="eastAsia" w:ascii="仿宋_GB2312" w:eastAsia="仿宋_GB2312" w:cs="仿宋_GB2312"/>
          <w:b w:val="0"/>
          <w:bCs w:val="0"/>
          <w:color w:val="auto"/>
          <w:highlight w:val="none"/>
        </w:rPr>
      </w:pPr>
      <w:r>
        <w:rPr>
          <w:rFonts w:hint="eastAsia" w:ascii="仿宋_GB2312" w:eastAsia="仿宋_GB2312" w:cs="仿宋_GB2312"/>
          <w:b w:val="0"/>
          <w:bCs w:val="0"/>
          <w:color w:val="auto"/>
          <w:highlight w:val="none"/>
          <w:lang w:val="en-US" w:eastAsia="zh-CN"/>
        </w:rPr>
        <w:t>1.</w:t>
      </w:r>
      <w:r>
        <w:rPr>
          <w:rFonts w:hint="eastAsia" w:ascii="仿宋_GB2312" w:eastAsia="仿宋_GB2312" w:cs="仿宋_GB2312"/>
          <w:b w:val="0"/>
          <w:bCs w:val="0"/>
          <w:color w:val="auto"/>
          <w:highlight w:val="none"/>
          <w:lang w:eastAsia="zh-CN"/>
        </w:rPr>
        <w:t>曾入选省级以上重大人才工程或相当层次人才</w:t>
      </w:r>
      <w:r>
        <w:rPr>
          <w:rFonts w:hint="eastAsia" w:ascii="仿宋_GB2312" w:eastAsia="仿宋_GB2312" w:cs="仿宋_GB2312"/>
          <w:b w:val="0"/>
          <w:bCs w:val="0"/>
          <w:color w:val="auto"/>
          <w:highlight w:val="none"/>
        </w:rPr>
        <w:t>；</w:t>
      </w:r>
    </w:p>
    <w:p>
      <w:pPr>
        <w:pStyle w:val="4"/>
        <w:numPr>
          <w:ilvl w:val="0"/>
          <w:numId w:val="0"/>
        </w:numPr>
        <w:suppressAutoHyphens/>
        <w:snapToGrid w:val="0"/>
        <w:spacing w:after="0" w:line="580" w:lineRule="exact"/>
        <w:ind w:left="4" w:leftChars="0" w:firstLine="640" w:firstLineChars="200"/>
        <w:rPr>
          <w:rFonts w:ascii="仿宋_GB2312" w:hAnsi="仿宋_GB2312" w:eastAsia="仿宋_GB2312" w:cs="仿宋_GB2312"/>
          <w:b w:val="0"/>
          <w:bCs w:val="0"/>
          <w:snapToGrid w:val="0"/>
          <w:color w:val="auto"/>
          <w:kern w:val="0"/>
          <w:highlight w:val="none"/>
        </w:rPr>
      </w:pPr>
      <w:r>
        <w:rPr>
          <w:rFonts w:hint="eastAsia" w:ascii="仿宋_GB2312" w:hAnsi="仿宋_GB2312" w:eastAsia="仿宋_GB2312" w:cs="仿宋_GB2312"/>
          <w:b w:val="0"/>
          <w:bCs w:val="0"/>
          <w:snapToGrid w:val="0"/>
          <w:color w:val="auto"/>
          <w:kern w:val="0"/>
          <w:sz w:val="32"/>
          <w:szCs w:val="32"/>
          <w:highlight w:val="none"/>
          <w:lang w:val="en-US" w:eastAsia="zh-CN"/>
        </w:rPr>
        <w:t>2.</w:t>
      </w:r>
      <w:r>
        <w:rPr>
          <w:rFonts w:hint="eastAsia" w:ascii="仿宋_GB2312" w:hAnsi="仿宋_GB2312" w:eastAsia="仿宋_GB2312" w:cs="仿宋_GB2312"/>
          <w:b w:val="0"/>
          <w:bCs w:val="0"/>
          <w:snapToGrid w:val="0"/>
          <w:color w:val="auto"/>
          <w:kern w:val="0"/>
          <w:sz w:val="32"/>
          <w:szCs w:val="32"/>
          <w:highlight w:val="none"/>
        </w:rPr>
        <w:t>国家、省、市级</w:t>
      </w:r>
      <w:r>
        <w:rPr>
          <w:rFonts w:hint="eastAsia" w:ascii="仿宋_GB2312" w:eastAsia="仿宋_GB2312" w:cs="仿宋_GB2312"/>
          <w:b w:val="0"/>
          <w:bCs w:val="0"/>
          <w:color w:val="auto"/>
          <w:highlight w:val="none"/>
        </w:rPr>
        <w:t>科学技术奖获奖者；</w:t>
      </w:r>
    </w:p>
    <w:p>
      <w:pPr>
        <w:pStyle w:val="4"/>
        <w:numPr>
          <w:ilvl w:val="0"/>
          <w:numId w:val="0"/>
        </w:numPr>
        <w:suppressAutoHyphens/>
        <w:snapToGrid w:val="0"/>
        <w:spacing w:after="0" w:line="580" w:lineRule="exact"/>
        <w:ind w:left="4" w:leftChars="0" w:firstLine="640" w:firstLineChars="200"/>
        <w:rPr>
          <w:rFonts w:ascii="仿宋_GB2312" w:hAnsi="仿宋_GB2312" w:eastAsia="仿宋_GB2312" w:cs="仿宋_GB2312"/>
          <w:b w:val="0"/>
          <w:bCs w:val="0"/>
          <w:snapToGrid w:val="0"/>
          <w:color w:val="auto"/>
          <w:kern w:val="0"/>
          <w:highlight w:val="none"/>
        </w:rPr>
      </w:pPr>
      <w:r>
        <w:rPr>
          <w:rFonts w:hint="eastAsia" w:ascii="仿宋_GB2312" w:hAnsi="仿宋_GB2312" w:eastAsia="仿宋_GB2312" w:cs="仿宋_GB2312"/>
          <w:b w:val="0"/>
          <w:bCs w:val="0"/>
          <w:snapToGrid w:val="0"/>
          <w:color w:val="auto"/>
          <w:kern w:val="0"/>
          <w:highlight w:val="none"/>
          <w:lang w:val="en-US" w:eastAsia="zh-CN"/>
        </w:rPr>
        <w:t>3.</w:t>
      </w:r>
      <w:r>
        <w:rPr>
          <w:rFonts w:hint="eastAsia" w:ascii="仿宋_GB2312" w:hAnsi="仿宋_GB2312" w:eastAsia="仿宋_GB2312" w:cs="仿宋_GB2312"/>
          <w:b w:val="0"/>
          <w:bCs w:val="0"/>
          <w:snapToGrid w:val="0"/>
          <w:color w:val="auto"/>
          <w:kern w:val="0"/>
          <w:highlight w:val="none"/>
        </w:rPr>
        <w:t>生物医药领域国家、省、市级重大科技项目负责人或主要完成人；</w:t>
      </w:r>
    </w:p>
    <w:p>
      <w:pPr>
        <w:pStyle w:val="4"/>
        <w:numPr>
          <w:ilvl w:val="0"/>
          <w:numId w:val="0"/>
        </w:numPr>
        <w:suppressAutoHyphens/>
        <w:snapToGrid w:val="0"/>
        <w:spacing w:after="0" w:line="580" w:lineRule="exact"/>
        <w:ind w:left="4" w:leftChars="0" w:firstLine="640" w:firstLineChars="200"/>
        <w:rPr>
          <w:rFonts w:ascii="仿宋_GB2312" w:hAnsi="仿宋_GB2312" w:eastAsia="仿宋_GB2312" w:cs="仿宋_GB2312"/>
          <w:b w:val="0"/>
          <w:bCs w:val="0"/>
          <w:snapToGrid w:val="0"/>
          <w:color w:val="auto"/>
          <w:kern w:val="0"/>
          <w:highlight w:val="none"/>
        </w:rPr>
      </w:pPr>
      <w:r>
        <w:rPr>
          <w:rFonts w:hint="eastAsia" w:ascii="仿宋_GB2312" w:hAnsi="仿宋_GB2312" w:eastAsia="仿宋_GB2312" w:cs="仿宋_GB2312"/>
          <w:b w:val="0"/>
          <w:bCs w:val="0"/>
          <w:snapToGrid w:val="0"/>
          <w:color w:val="auto"/>
          <w:kern w:val="0"/>
          <w:highlight w:val="none"/>
          <w:lang w:val="en-US" w:eastAsia="zh-CN"/>
        </w:rPr>
        <w:t>4.</w:t>
      </w:r>
      <w:r>
        <w:rPr>
          <w:rFonts w:hint="eastAsia" w:ascii="仿宋_GB2312" w:hAnsi="仿宋_GB2312" w:eastAsia="仿宋_GB2312" w:cs="仿宋_GB2312"/>
          <w:b w:val="0"/>
          <w:bCs w:val="0"/>
          <w:snapToGrid w:val="0"/>
          <w:color w:val="auto"/>
          <w:kern w:val="0"/>
          <w:highlight w:val="none"/>
        </w:rPr>
        <w:t>在国内外</w:t>
      </w:r>
      <w:r>
        <w:rPr>
          <w:rFonts w:hint="eastAsia" w:ascii="仿宋_GB2312" w:hAnsi="仿宋_GB2312" w:eastAsia="仿宋_GB2312" w:cs="仿宋_GB2312"/>
          <w:b w:val="0"/>
          <w:bCs w:val="0"/>
          <w:snapToGrid w:val="0"/>
          <w:color w:val="auto"/>
          <w:kern w:val="0"/>
          <w:highlight w:val="none"/>
          <w:lang w:eastAsia="zh-CN"/>
        </w:rPr>
        <w:t>知名高校、科研单位或</w:t>
      </w:r>
      <w:r>
        <w:rPr>
          <w:rFonts w:hint="eastAsia" w:ascii="仿宋_GB2312" w:hAnsi="仿宋_GB2312" w:eastAsia="仿宋_GB2312" w:cs="仿宋_GB2312"/>
          <w:b w:val="0"/>
          <w:bCs w:val="0"/>
          <w:snapToGrid w:val="0"/>
          <w:color w:val="auto"/>
          <w:kern w:val="0"/>
          <w:highlight w:val="none"/>
        </w:rPr>
        <w:t>生物医药领域龙头企业担任过研发、生产、管理部门</w:t>
      </w:r>
      <w:r>
        <w:rPr>
          <w:rFonts w:hint="eastAsia" w:ascii="仿宋_GB2312" w:hAnsi="仿宋_GB2312" w:eastAsia="仿宋_GB2312" w:cs="仿宋_GB2312"/>
          <w:b w:val="0"/>
          <w:bCs w:val="0"/>
          <w:snapToGrid w:val="0"/>
          <w:color w:val="auto"/>
          <w:kern w:val="0"/>
          <w:highlight w:val="none"/>
          <w:lang w:eastAsia="zh-CN"/>
        </w:rPr>
        <w:t>等重要岗位负责人</w:t>
      </w:r>
      <w:r>
        <w:rPr>
          <w:rFonts w:hint="eastAsia" w:ascii="仿宋_GB2312" w:hAnsi="仿宋_GB2312" w:eastAsia="仿宋_GB2312" w:cs="仿宋_GB2312"/>
          <w:b w:val="0"/>
          <w:bCs w:val="0"/>
          <w:snapToGrid w:val="0"/>
          <w:color w:val="auto"/>
          <w:kern w:val="0"/>
          <w:highlight w:val="none"/>
        </w:rPr>
        <w:t>；</w:t>
      </w:r>
    </w:p>
    <w:p>
      <w:pPr>
        <w:pStyle w:val="4"/>
        <w:numPr>
          <w:ilvl w:val="0"/>
          <w:numId w:val="0"/>
        </w:numPr>
        <w:snapToGrid w:val="0"/>
        <w:spacing w:line="580" w:lineRule="exact"/>
        <w:ind w:left="0" w:leftChars="0" w:firstLine="960" w:firstLineChars="300"/>
        <w:rPr>
          <w:rFonts w:hint="eastAsia" w:asciiTheme="minorHAnsi" w:hAnsiTheme="minorHAnsi" w:eastAsiaTheme="minorEastAsia" w:cstheme="minorBidi"/>
          <w:b w:val="0"/>
          <w:bCs w:val="0"/>
          <w:snapToGrid/>
          <w:color w:val="auto"/>
          <w:kern w:val="2"/>
          <w:sz w:val="21"/>
          <w:szCs w:val="22"/>
          <w:highlight w:val="none"/>
        </w:rPr>
      </w:pPr>
      <w:r>
        <w:rPr>
          <w:rFonts w:hint="eastAsia" w:ascii="仿宋_GB2312" w:hAnsi="仿宋_GB2312" w:eastAsia="仿宋_GB2312" w:cs="仿宋_GB2312"/>
          <w:b w:val="0"/>
          <w:bCs w:val="0"/>
          <w:snapToGrid w:val="0"/>
          <w:color w:val="auto"/>
          <w:kern w:val="0"/>
          <w:highlight w:val="none"/>
          <w:lang w:val="en-US" w:eastAsia="zh-CN"/>
        </w:rPr>
        <w:t>5.</w:t>
      </w:r>
      <w:r>
        <w:rPr>
          <w:rFonts w:hint="eastAsia" w:ascii="仿宋_GB2312" w:hAnsi="仿宋_GB2312" w:eastAsia="仿宋_GB2312" w:cs="仿宋_GB2312"/>
          <w:b w:val="0"/>
          <w:bCs w:val="0"/>
          <w:snapToGrid w:val="0"/>
          <w:color w:val="auto"/>
          <w:kern w:val="0"/>
          <w:highlight w:val="none"/>
          <w:lang w:eastAsia="zh-CN"/>
        </w:rPr>
        <w:t>申报单位</w:t>
      </w:r>
      <w:r>
        <w:rPr>
          <w:rFonts w:hint="eastAsia" w:ascii="仿宋_GB2312" w:hAnsi="仿宋_GB2312" w:eastAsia="仿宋_GB2312" w:cs="仿宋_GB2312"/>
          <w:b w:val="0"/>
          <w:bCs w:val="0"/>
          <w:snapToGrid w:val="0"/>
          <w:color w:val="auto"/>
          <w:kern w:val="0"/>
          <w:highlight w:val="none"/>
        </w:rPr>
        <w:t>研发、生产、管理部门</w:t>
      </w:r>
      <w:r>
        <w:rPr>
          <w:rFonts w:hint="eastAsia" w:ascii="仿宋_GB2312" w:hAnsi="仿宋_GB2312" w:eastAsia="仿宋_GB2312" w:cs="仿宋_GB2312"/>
          <w:b w:val="0"/>
          <w:bCs w:val="0"/>
          <w:snapToGrid w:val="0"/>
          <w:color w:val="auto"/>
          <w:kern w:val="0"/>
          <w:highlight w:val="none"/>
          <w:lang w:val="en-US" w:eastAsia="zh-CN"/>
        </w:rPr>
        <w:t>重要岗位负责人</w:t>
      </w:r>
      <w:r>
        <w:rPr>
          <w:rFonts w:hint="eastAsia" w:ascii="仿宋_GB2312" w:hAnsi="仿宋_GB2312" w:eastAsia="仿宋_GB2312" w:cs="仿宋_GB2312"/>
          <w:b w:val="0"/>
          <w:bCs w:val="0"/>
          <w:snapToGrid w:val="0"/>
          <w:color w:val="auto"/>
          <w:kern w:val="0"/>
          <w:highlight w:val="none"/>
        </w:rPr>
        <w:t>。</w:t>
      </w:r>
    </w:p>
    <w:p>
      <w:pPr>
        <w:spacing w:line="580" w:lineRule="exact"/>
        <w:ind w:left="0" w:leftChars="0" w:firstLine="640" w:firstLineChars="200"/>
        <w:jc w:val="center"/>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 xml:space="preserve">第三章  </w:t>
      </w:r>
      <w:r>
        <w:rPr>
          <w:rFonts w:hint="eastAsia" w:ascii="黑体" w:hAnsi="黑体" w:eastAsia="黑体" w:cs="黑体"/>
          <w:b w:val="0"/>
          <w:bCs w:val="0"/>
          <w:color w:val="auto"/>
          <w:kern w:val="0"/>
          <w:sz w:val="32"/>
          <w:szCs w:val="32"/>
          <w:highlight w:val="none"/>
          <w:lang w:val="en-US" w:eastAsia="zh-CN"/>
        </w:rPr>
        <w:t>兑现程序</w:t>
      </w:r>
    </w:p>
    <w:p>
      <w:pPr>
        <w:widowControl w:val="0"/>
        <w:adjustRightInd w:val="0"/>
        <w:snapToGrid w:val="0"/>
        <w:spacing w:line="580" w:lineRule="exact"/>
        <w:ind w:left="4" w:leftChars="0"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Times New Roman" w:eastAsia="仿宋_GB2312" w:cs="仿宋_GB2312"/>
          <w:b w:val="0"/>
          <w:bCs w:val="0"/>
          <w:color w:val="auto"/>
          <w:sz w:val="32"/>
          <w:szCs w:val="32"/>
          <w:highlight w:val="none"/>
        </w:rPr>
        <w:t>第十条 市科技局每年公开发布年度申报通知，明确申报条件、受理时间和申报材料编制要求等。项目申报主体向市科技局提出申请，按要求提交申报材料</w:t>
      </w:r>
      <w:r>
        <w:rPr>
          <w:rFonts w:hint="eastAsia" w:ascii="仿宋_GB2312" w:hAnsi="Times New Roman" w:eastAsia="仿宋_GB2312" w:cs="仿宋_GB2312"/>
          <w:b w:val="0"/>
          <w:bCs w:val="0"/>
          <w:color w:val="auto"/>
          <w:sz w:val="32"/>
          <w:szCs w:val="32"/>
          <w:highlight w:val="none"/>
          <w:lang w:eastAsia="zh-CN"/>
        </w:rPr>
        <w:t>，逾期未申请视同自动放弃。</w:t>
      </w:r>
    </w:p>
    <w:p>
      <w:pPr>
        <w:spacing w:line="580" w:lineRule="exact"/>
        <w:ind w:left="4" w:leftChars="0" w:firstLine="640" w:firstLineChars="200"/>
        <w:rPr>
          <w:rFonts w:hint="eastAsia" w:ascii="仿宋_GB2312" w:hAnsi="仿宋" w:eastAsia="仿宋_GB2312" w:cstheme="minorBidi"/>
          <w:b w:val="0"/>
          <w:bCs w:val="0"/>
          <w:color w:val="auto"/>
          <w:sz w:val="32"/>
          <w:szCs w:val="32"/>
          <w:highlight w:val="none"/>
          <w:lang w:val="en-US" w:eastAsia="zh-CN"/>
        </w:rPr>
      </w:pPr>
      <w:r>
        <w:rPr>
          <w:rFonts w:hint="eastAsia" w:ascii="仿宋_GB2312" w:hAnsi="Times New Roman" w:eastAsia="仿宋_GB2312" w:cs="仿宋_GB2312"/>
          <w:b w:val="0"/>
          <w:bCs w:val="0"/>
          <w:color w:val="auto"/>
          <w:sz w:val="32"/>
          <w:szCs w:val="32"/>
          <w:highlight w:val="none"/>
        </w:rPr>
        <w:t>第十</w:t>
      </w:r>
      <w:r>
        <w:rPr>
          <w:rFonts w:hint="eastAsia" w:ascii="仿宋_GB2312" w:hAnsi="Times New Roman" w:eastAsia="仿宋_GB2312" w:cs="仿宋_GB2312"/>
          <w:b w:val="0"/>
          <w:bCs w:val="0"/>
          <w:color w:val="auto"/>
          <w:sz w:val="32"/>
          <w:szCs w:val="32"/>
          <w:highlight w:val="none"/>
          <w:lang w:eastAsia="zh-CN"/>
        </w:rPr>
        <w:t>一</w:t>
      </w:r>
      <w:r>
        <w:rPr>
          <w:rFonts w:hint="eastAsia" w:ascii="仿宋_GB2312" w:hAnsi="Times New Roman" w:eastAsia="仿宋_GB2312" w:cs="仿宋_GB2312"/>
          <w:b w:val="0"/>
          <w:bCs w:val="0"/>
          <w:color w:val="auto"/>
          <w:sz w:val="32"/>
          <w:szCs w:val="32"/>
          <w:highlight w:val="none"/>
        </w:rPr>
        <w:t>条</w:t>
      </w:r>
      <w:r>
        <w:rPr>
          <w:rFonts w:ascii="仿宋_GB2312" w:hAnsi="Times New Roman" w:eastAsia="仿宋_GB2312" w:cs="仿宋_GB2312"/>
          <w:b w:val="0"/>
          <w:bCs w:val="0"/>
          <w:color w:val="auto"/>
          <w:sz w:val="32"/>
          <w:szCs w:val="32"/>
          <w:highlight w:val="none"/>
        </w:rPr>
        <w:t xml:space="preserve"> </w:t>
      </w:r>
      <w:r>
        <w:rPr>
          <w:rFonts w:hint="eastAsia" w:ascii="仿宋_GB2312" w:hAnsi="Times New Roman" w:eastAsia="仿宋_GB2312" w:cs="仿宋_GB2312"/>
          <w:b w:val="0"/>
          <w:bCs w:val="0"/>
          <w:color w:val="auto"/>
          <w:sz w:val="32"/>
          <w:szCs w:val="32"/>
          <w:highlight w:val="none"/>
        </w:rPr>
        <w:t>市科技局</w:t>
      </w:r>
      <w:r>
        <w:rPr>
          <w:rFonts w:hint="eastAsia" w:ascii="仿宋_GB2312" w:hAnsi="Times New Roman" w:eastAsia="仿宋_GB2312" w:cs="仿宋_GB2312"/>
          <w:b w:val="0"/>
          <w:bCs w:val="0"/>
          <w:color w:val="auto"/>
          <w:sz w:val="32"/>
          <w:szCs w:val="32"/>
          <w:highlight w:val="none"/>
          <w:lang w:val="en-US" w:eastAsia="zh-CN"/>
        </w:rPr>
        <w:t>组织或委托第三方服务机构开展</w:t>
      </w:r>
      <w:r>
        <w:rPr>
          <w:rFonts w:hint="eastAsia" w:ascii="仿宋_GB2312" w:hAnsi="仿宋" w:eastAsia="仿宋_GB2312"/>
          <w:b w:val="0"/>
          <w:bCs w:val="0"/>
          <w:color w:val="auto"/>
          <w:sz w:val="32"/>
          <w:szCs w:val="32"/>
          <w:highlight w:val="none"/>
        </w:rPr>
        <w:t>项目申报受理、专家</w:t>
      </w:r>
      <w:r>
        <w:rPr>
          <w:rFonts w:hint="eastAsia" w:ascii="仿宋_GB2312" w:hAnsi="仿宋" w:eastAsia="仿宋_GB2312"/>
          <w:b w:val="0"/>
          <w:bCs w:val="0"/>
          <w:color w:val="auto"/>
          <w:sz w:val="32"/>
          <w:szCs w:val="32"/>
          <w:highlight w:val="none"/>
          <w:lang w:val="en-US" w:eastAsia="zh-CN"/>
        </w:rPr>
        <w:t>评审、现场核查或抽查等工作，必要时</w:t>
      </w:r>
      <w:r>
        <w:rPr>
          <w:rFonts w:hint="eastAsia" w:ascii="仿宋_GB2312" w:hAnsi="仿宋_GB2312" w:eastAsia="仿宋_GB2312" w:cs="仿宋_GB2312"/>
          <w:b w:val="0"/>
          <w:bCs w:val="0"/>
          <w:color w:val="auto"/>
          <w:sz w:val="32"/>
          <w:szCs w:val="32"/>
          <w:highlight w:val="none"/>
          <w:lang w:val="en-US" w:eastAsia="zh-CN"/>
        </w:rPr>
        <w:t>会同</w:t>
      </w:r>
      <w:r>
        <w:rPr>
          <w:rFonts w:hint="eastAsia" w:ascii="仿宋_GB2312" w:hAnsi="仿宋" w:eastAsia="仿宋_GB2312" w:cstheme="minorBidi"/>
          <w:b w:val="0"/>
          <w:bCs w:val="0"/>
          <w:color w:val="auto"/>
          <w:sz w:val="32"/>
          <w:szCs w:val="32"/>
          <w:highlight w:val="none"/>
          <w:lang w:val="en-US" w:eastAsia="zh-CN"/>
        </w:rPr>
        <w:t>相关部门进行联审；申报项目涉及研发投入或其他需确认的数据，由市科技局委托会计师事务所或第三方服务机构审核，或由申报单位提供佐证材料和真实性承诺，市科技局组织专家或委托第三方</w:t>
      </w:r>
      <w:r>
        <w:rPr>
          <w:rFonts w:hint="eastAsia" w:ascii="仿宋_GB2312" w:hAnsi="Times New Roman" w:eastAsia="仿宋_GB2312" w:cs="仿宋_GB2312"/>
          <w:b w:val="0"/>
          <w:bCs w:val="0"/>
          <w:color w:val="auto"/>
          <w:sz w:val="32"/>
          <w:szCs w:val="32"/>
          <w:highlight w:val="none"/>
          <w:lang w:val="en-US" w:eastAsia="zh-CN"/>
        </w:rPr>
        <w:t>服务机构</w:t>
      </w:r>
      <w:r>
        <w:rPr>
          <w:rFonts w:hint="eastAsia" w:ascii="仿宋_GB2312" w:hAnsi="仿宋" w:eastAsia="仿宋_GB2312" w:cstheme="minorBidi"/>
          <w:b w:val="0"/>
          <w:bCs w:val="0"/>
          <w:color w:val="auto"/>
          <w:sz w:val="32"/>
          <w:szCs w:val="32"/>
          <w:highlight w:val="none"/>
          <w:lang w:val="en-US" w:eastAsia="zh-CN"/>
        </w:rPr>
        <w:t>按一定比例抽查。</w:t>
      </w:r>
    </w:p>
    <w:p>
      <w:pPr>
        <w:spacing w:line="580" w:lineRule="exact"/>
        <w:ind w:left="4" w:leftChars="0" w:firstLine="640" w:firstLineChars="200"/>
        <w:jc w:val="left"/>
        <w:rPr>
          <w:rFonts w:hint="eastAsia"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第十</w:t>
      </w:r>
      <w:r>
        <w:rPr>
          <w:rFonts w:hint="eastAsia" w:ascii="仿宋_GB2312" w:hAnsi="Times New Roman" w:eastAsia="仿宋_GB2312" w:cs="仿宋_GB2312"/>
          <w:b w:val="0"/>
          <w:bCs w:val="0"/>
          <w:color w:val="auto"/>
          <w:sz w:val="32"/>
          <w:szCs w:val="32"/>
          <w:highlight w:val="none"/>
          <w:lang w:eastAsia="zh-CN"/>
        </w:rPr>
        <w:t>二</w:t>
      </w:r>
      <w:r>
        <w:rPr>
          <w:rFonts w:hint="eastAsia" w:ascii="仿宋_GB2312" w:hAnsi="Times New Roman" w:eastAsia="仿宋_GB2312" w:cs="仿宋_GB2312"/>
          <w:b w:val="0"/>
          <w:bCs w:val="0"/>
          <w:color w:val="auto"/>
          <w:sz w:val="32"/>
          <w:szCs w:val="32"/>
          <w:highlight w:val="none"/>
        </w:rPr>
        <w:t>条 市科技局公示结果并安排资金拨付。</w:t>
      </w:r>
    </w:p>
    <w:p>
      <w:pPr>
        <w:spacing w:line="580" w:lineRule="exact"/>
        <w:ind w:left="0" w:leftChars="0" w:firstLine="0" w:firstLineChars="0"/>
        <w:jc w:val="center"/>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第四章  附则</w:t>
      </w:r>
    </w:p>
    <w:p>
      <w:pPr>
        <w:spacing w:line="580" w:lineRule="exact"/>
        <w:ind w:left="4" w:leftChars="0" w:firstLine="640" w:firstLineChars="200"/>
        <w:jc w:val="left"/>
        <w:rPr>
          <w:rFonts w:ascii="仿宋_GB2312" w:hAnsi="Times New Roman" w:eastAsia="仿宋_GB2312" w:cs="仿宋_GB2312"/>
          <w:b w:val="0"/>
          <w:bCs w:val="0"/>
          <w:strike/>
          <w:color w:val="auto"/>
          <w:sz w:val="32"/>
          <w:szCs w:val="32"/>
          <w:highlight w:val="none"/>
        </w:rPr>
      </w:pPr>
      <w:r>
        <w:rPr>
          <w:rFonts w:hint="eastAsia" w:ascii="仿宋_GB2312" w:hAnsi="Times New Roman" w:eastAsia="仿宋_GB2312" w:cs="仿宋_GB2312"/>
          <w:b w:val="0"/>
          <w:bCs w:val="0"/>
          <w:color w:val="auto"/>
          <w:sz w:val="32"/>
          <w:szCs w:val="32"/>
          <w:highlight w:val="none"/>
        </w:rPr>
        <w:t>第十</w:t>
      </w:r>
      <w:r>
        <w:rPr>
          <w:rFonts w:hint="eastAsia" w:ascii="仿宋_GB2312" w:hAnsi="Times New Roman" w:eastAsia="仿宋_GB2312" w:cs="仿宋_GB2312"/>
          <w:b w:val="0"/>
          <w:bCs w:val="0"/>
          <w:color w:val="auto"/>
          <w:sz w:val="32"/>
          <w:szCs w:val="32"/>
          <w:highlight w:val="none"/>
          <w:lang w:eastAsia="zh-CN"/>
        </w:rPr>
        <w:t>三</w:t>
      </w:r>
      <w:r>
        <w:rPr>
          <w:rFonts w:hint="eastAsia" w:ascii="仿宋_GB2312" w:hAnsi="Times New Roman" w:eastAsia="仿宋_GB2312" w:cs="仿宋_GB2312"/>
          <w:b w:val="0"/>
          <w:bCs w:val="0"/>
          <w:color w:val="auto"/>
          <w:sz w:val="32"/>
          <w:szCs w:val="32"/>
          <w:highlight w:val="none"/>
        </w:rPr>
        <w:t>条</w:t>
      </w:r>
      <w:r>
        <w:rPr>
          <w:rFonts w:ascii="仿宋_GB2312" w:hAnsi="Times New Roman" w:eastAsia="仿宋_GB2312" w:cs="仿宋_GB2312"/>
          <w:b w:val="0"/>
          <w:bCs w:val="0"/>
          <w:color w:val="auto"/>
          <w:sz w:val="32"/>
          <w:szCs w:val="32"/>
          <w:highlight w:val="none"/>
        </w:rPr>
        <w:t xml:space="preserve"> </w:t>
      </w:r>
      <w:r>
        <w:rPr>
          <w:rFonts w:hint="eastAsia" w:ascii="仿宋_GB2312" w:hAnsi="Times New Roman" w:eastAsia="仿宋_GB2312" w:cs="仿宋_GB2312"/>
          <w:b w:val="0"/>
          <w:bCs w:val="0"/>
          <w:color w:val="auto"/>
          <w:sz w:val="32"/>
          <w:szCs w:val="32"/>
          <w:highlight w:val="none"/>
        </w:rPr>
        <w:t>申报项目所涉及产权应清晰、明确、无异议，不涉及正在进行的仲裁和诉讼。</w:t>
      </w:r>
    </w:p>
    <w:p>
      <w:pPr>
        <w:keepNext w:val="0"/>
        <w:keepLines w:val="0"/>
        <w:pageBreakBefore w:val="0"/>
        <w:widowControl w:val="0"/>
        <w:kinsoku/>
        <w:wordWrap/>
        <w:overflowPunct/>
        <w:topLinePunct w:val="0"/>
        <w:bidi w:val="0"/>
        <w:adjustRightInd/>
        <w:snapToGrid/>
        <w:spacing w:line="580" w:lineRule="exact"/>
        <w:ind w:left="4" w:leftChars="0" w:right="0" w:rightChars="0" w:firstLine="640" w:firstLineChars="200"/>
        <w:jc w:val="left"/>
        <w:textAlignment w:val="auto"/>
        <w:outlineLvl w:val="9"/>
        <w:rPr>
          <w:rFonts w:hint="eastAsia" w:ascii="仿宋_GB2312" w:hAnsi="Times New Roman" w:eastAsia="仿宋_GB2312" w:cs="仿宋_GB2312"/>
          <w:b w:val="0"/>
          <w:bCs w:val="0"/>
          <w:color w:val="auto"/>
          <w:sz w:val="32"/>
          <w:szCs w:val="32"/>
          <w:highlight w:val="none"/>
          <w:lang w:eastAsia="zh-CN"/>
        </w:rPr>
      </w:pPr>
      <w:r>
        <w:rPr>
          <w:rFonts w:hint="eastAsia" w:ascii="仿宋_GB2312" w:hAnsi="Times New Roman" w:eastAsia="仿宋_GB2312" w:cs="仿宋_GB2312"/>
          <w:b w:val="0"/>
          <w:bCs w:val="0"/>
          <w:color w:val="auto"/>
          <w:sz w:val="32"/>
          <w:szCs w:val="32"/>
          <w:highlight w:val="none"/>
        </w:rPr>
        <w:t>第十</w:t>
      </w:r>
      <w:r>
        <w:rPr>
          <w:rFonts w:hint="eastAsia" w:ascii="仿宋_GB2312" w:hAnsi="Times New Roman" w:eastAsia="仿宋_GB2312" w:cs="仿宋_GB2312"/>
          <w:b w:val="0"/>
          <w:bCs w:val="0"/>
          <w:color w:val="auto"/>
          <w:sz w:val="32"/>
          <w:szCs w:val="32"/>
          <w:highlight w:val="none"/>
          <w:lang w:eastAsia="zh-CN"/>
        </w:rPr>
        <w:t>四</w:t>
      </w:r>
      <w:r>
        <w:rPr>
          <w:rFonts w:hint="eastAsia" w:ascii="仿宋_GB2312" w:hAnsi="Times New Roman" w:eastAsia="仿宋_GB2312" w:cs="仿宋_GB2312"/>
          <w:b w:val="0"/>
          <w:bCs w:val="0"/>
          <w:color w:val="auto"/>
          <w:sz w:val="32"/>
          <w:szCs w:val="32"/>
          <w:highlight w:val="none"/>
        </w:rPr>
        <w:t xml:space="preserve">条 </w:t>
      </w:r>
      <w:r>
        <w:rPr>
          <w:rFonts w:hint="eastAsia" w:ascii="仿宋_GB2312" w:hAnsi="Times New Roman" w:eastAsia="仿宋_GB2312" w:cs="仿宋_GB2312"/>
          <w:b w:val="0"/>
          <w:bCs w:val="0"/>
          <w:color w:val="auto"/>
          <w:sz w:val="32"/>
          <w:szCs w:val="32"/>
          <w:highlight w:val="none"/>
          <w:lang w:val="en-US" w:eastAsia="zh-CN"/>
        </w:rPr>
        <w:t>受补助单位及个人应主动自觉接受政府、监察等有关部门的监督检查，包括</w:t>
      </w:r>
      <w:r>
        <w:rPr>
          <w:rFonts w:hint="eastAsia" w:ascii="仿宋_GB2312" w:hAnsi="Times New Roman" w:eastAsia="仿宋_GB2312" w:cs="仿宋_GB2312"/>
          <w:b w:val="0"/>
          <w:bCs w:val="0"/>
          <w:color w:val="auto"/>
          <w:sz w:val="32"/>
          <w:szCs w:val="32"/>
          <w:highlight w:val="none"/>
          <w:lang w:eastAsia="zh-CN"/>
        </w:rPr>
        <w:t>配合</w:t>
      </w:r>
      <w:r>
        <w:rPr>
          <w:rFonts w:hint="eastAsia" w:ascii="仿宋_GB2312" w:hAnsi="Times New Roman" w:eastAsia="仿宋_GB2312" w:cs="仿宋_GB2312"/>
          <w:b w:val="0"/>
          <w:bCs w:val="0"/>
          <w:color w:val="auto"/>
          <w:sz w:val="32"/>
          <w:szCs w:val="32"/>
          <w:highlight w:val="none"/>
        </w:rPr>
        <w:t>事后</w:t>
      </w:r>
      <w:r>
        <w:rPr>
          <w:rFonts w:hint="eastAsia" w:ascii="仿宋_GB2312" w:hAnsi="Times New Roman" w:eastAsia="仿宋_GB2312" w:cs="仿宋_GB2312"/>
          <w:b w:val="0"/>
          <w:bCs w:val="0"/>
          <w:color w:val="auto"/>
          <w:sz w:val="32"/>
          <w:szCs w:val="32"/>
          <w:highlight w:val="none"/>
          <w:lang w:eastAsia="zh-CN"/>
        </w:rPr>
        <w:t>监督</w:t>
      </w:r>
      <w:r>
        <w:rPr>
          <w:rFonts w:hint="eastAsia" w:ascii="仿宋_GB2312" w:hAnsi="Times New Roman" w:eastAsia="仿宋_GB2312" w:cs="仿宋_GB2312"/>
          <w:b w:val="0"/>
          <w:bCs w:val="0"/>
          <w:color w:val="auto"/>
          <w:sz w:val="32"/>
          <w:szCs w:val="32"/>
          <w:highlight w:val="none"/>
        </w:rPr>
        <w:t>抽查或审计</w:t>
      </w:r>
      <w:r>
        <w:rPr>
          <w:rFonts w:hint="eastAsia" w:ascii="仿宋_GB2312" w:hAnsi="Times New Roman"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snapToGrid/>
        <w:spacing w:line="580" w:lineRule="exact"/>
        <w:ind w:left="4" w:leftChars="0" w:right="0" w:rightChars="0" w:firstLine="640" w:firstLineChars="200"/>
        <w:jc w:val="both"/>
        <w:textAlignment w:val="auto"/>
        <w:outlineLvl w:val="9"/>
        <w:rPr>
          <w:rFonts w:hint="eastAsia"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lang w:eastAsia="zh-CN"/>
        </w:rPr>
        <w:t>对</w:t>
      </w:r>
      <w:r>
        <w:rPr>
          <w:rFonts w:hint="eastAsia" w:ascii="仿宋_GB2312" w:hAnsi="Times New Roman" w:eastAsia="仿宋_GB2312" w:cs="仿宋_GB2312"/>
          <w:b w:val="0"/>
          <w:bCs w:val="0"/>
          <w:color w:val="auto"/>
          <w:kern w:val="2"/>
          <w:sz w:val="32"/>
          <w:szCs w:val="32"/>
          <w:highlight w:val="none"/>
          <w:lang w:val="en-US" w:eastAsia="zh-CN"/>
        </w:rPr>
        <w:t>申报、使用和管理中</w:t>
      </w:r>
      <w:r>
        <w:rPr>
          <w:rFonts w:hint="eastAsia" w:ascii="仿宋_GB2312" w:hAnsi="Times New Roman" w:eastAsia="仿宋_GB2312" w:cs="仿宋_GB2312"/>
          <w:b w:val="0"/>
          <w:bCs w:val="0"/>
          <w:color w:val="auto"/>
          <w:sz w:val="32"/>
          <w:szCs w:val="32"/>
          <w:highlight w:val="none"/>
        </w:rPr>
        <w:t>存在虚报、</w:t>
      </w:r>
      <w:r>
        <w:rPr>
          <w:rFonts w:hint="eastAsia" w:ascii="仿宋_GB2312" w:hAnsi="Times New Roman" w:eastAsia="仿宋_GB2312" w:cs="仿宋_GB2312"/>
          <w:b w:val="0"/>
          <w:bCs w:val="0"/>
          <w:color w:val="auto"/>
          <w:sz w:val="32"/>
          <w:szCs w:val="32"/>
          <w:highlight w:val="none"/>
          <w:lang w:eastAsia="zh-CN"/>
        </w:rPr>
        <w:t>冒领、</w:t>
      </w:r>
      <w:r>
        <w:rPr>
          <w:rFonts w:hint="eastAsia" w:ascii="仿宋_GB2312" w:hAnsi="Times New Roman" w:eastAsia="仿宋_GB2312" w:cs="仿宋_GB2312"/>
          <w:b w:val="0"/>
          <w:bCs w:val="0"/>
          <w:color w:val="auto"/>
          <w:sz w:val="32"/>
          <w:szCs w:val="32"/>
          <w:highlight w:val="none"/>
        </w:rPr>
        <w:t>截留、挪用等违法</w:t>
      </w:r>
      <w:r>
        <w:rPr>
          <w:rFonts w:hint="eastAsia" w:ascii="仿宋_GB2312" w:hAnsi="Times New Roman" w:eastAsia="仿宋_GB2312" w:cs="仿宋_GB2312"/>
          <w:b w:val="0"/>
          <w:bCs w:val="0"/>
          <w:color w:val="auto"/>
          <w:sz w:val="32"/>
          <w:szCs w:val="32"/>
          <w:highlight w:val="none"/>
          <w:lang w:val="en-US" w:eastAsia="zh-CN"/>
        </w:rPr>
        <w:t>违规</w:t>
      </w:r>
      <w:r>
        <w:rPr>
          <w:rFonts w:hint="eastAsia" w:ascii="仿宋_GB2312" w:hAnsi="Times New Roman" w:eastAsia="仿宋_GB2312" w:cs="仿宋_GB2312"/>
          <w:b w:val="0"/>
          <w:bCs w:val="0"/>
          <w:color w:val="auto"/>
          <w:sz w:val="32"/>
          <w:szCs w:val="32"/>
          <w:highlight w:val="none"/>
        </w:rPr>
        <w:t>行为</w:t>
      </w:r>
      <w:r>
        <w:rPr>
          <w:rFonts w:hint="eastAsia" w:ascii="仿宋_GB2312" w:hAnsi="Times New Roman" w:eastAsia="仿宋_GB2312" w:cs="仿宋_GB2312"/>
          <w:b w:val="0"/>
          <w:bCs w:val="0"/>
          <w:color w:val="auto"/>
          <w:sz w:val="32"/>
          <w:szCs w:val="32"/>
          <w:highlight w:val="none"/>
          <w:lang w:eastAsia="zh-CN"/>
        </w:rPr>
        <w:t>或不履行承诺的，</w:t>
      </w:r>
      <w:r>
        <w:rPr>
          <w:rFonts w:hint="eastAsia" w:ascii="仿宋_GB2312" w:hAnsi="Times New Roman" w:eastAsia="仿宋_GB2312" w:cs="仿宋_GB2312"/>
          <w:b w:val="0"/>
          <w:bCs w:val="0"/>
          <w:color w:val="auto"/>
          <w:sz w:val="32"/>
          <w:szCs w:val="32"/>
          <w:highlight w:val="none"/>
        </w:rPr>
        <w:t>将收回奖补资金，</w:t>
      </w:r>
      <w:r>
        <w:rPr>
          <w:rFonts w:hint="eastAsia" w:ascii="仿宋_GB2312" w:hAnsi="Times New Roman" w:eastAsia="仿宋_GB2312" w:cs="仿宋_GB2312"/>
          <w:b w:val="0"/>
          <w:bCs w:val="0"/>
          <w:color w:val="auto"/>
          <w:sz w:val="32"/>
          <w:szCs w:val="32"/>
          <w:highlight w:val="none"/>
          <w:lang w:val="en-US" w:eastAsia="zh-CN"/>
        </w:rPr>
        <w:t>取消申报单位和相关负责人5年内申报财政相关扶持资金资格，</w:t>
      </w:r>
      <w:r>
        <w:rPr>
          <w:rFonts w:hint="eastAsia" w:ascii="仿宋_GB2312" w:hAnsi="Times New Roman" w:eastAsia="仿宋_GB2312" w:cs="仿宋_GB2312"/>
          <w:b w:val="0"/>
          <w:bCs w:val="0"/>
          <w:color w:val="auto"/>
          <w:sz w:val="32"/>
          <w:szCs w:val="32"/>
          <w:highlight w:val="none"/>
        </w:rPr>
        <w:t>并依法追究相关</w:t>
      </w:r>
      <w:r>
        <w:rPr>
          <w:rFonts w:hint="eastAsia" w:ascii="仿宋_GB2312" w:hAnsi="Times New Roman" w:eastAsia="仿宋_GB2312" w:cs="仿宋_GB2312"/>
          <w:b w:val="0"/>
          <w:bCs w:val="0"/>
          <w:color w:val="auto"/>
          <w:sz w:val="32"/>
          <w:szCs w:val="32"/>
          <w:highlight w:val="none"/>
          <w:lang w:eastAsia="zh-CN"/>
        </w:rPr>
        <w:t>单位</w:t>
      </w:r>
      <w:r>
        <w:rPr>
          <w:rFonts w:hint="eastAsia" w:ascii="仿宋_GB2312" w:hAnsi="Times New Roman" w:eastAsia="仿宋_GB2312" w:cs="仿宋_GB2312"/>
          <w:b w:val="0"/>
          <w:bCs w:val="0"/>
          <w:color w:val="auto"/>
          <w:sz w:val="32"/>
          <w:szCs w:val="32"/>
          <w:highlight w:val="none"/>
        </w:rPr>
        <w:t>和</w:t>
      </w:r>
      <w:r>
        <w:rPr>
          <w:rFonts w:hint="eastAsia" w:ascii="仿宋_GB2312" w:hAnsi="Times New Roman" w:eastAsia="仿宋_GB2312" w:cs="仿宋_GB2312"/>
          <w:b w:val="0"/>
          <w:bCs w:val="0"/>
          <w:color w:val="auto"/>
          <w:sz w:val="32"/>
          <w:szCs w:val="32"/>
          <w:highlight w:val="none"/>
          <w:lang w:val="en-US" w:eastAsia="zh-CN"/>
        </w:rPr>
        <w:t>相关</w:t>
      </w:r>
      <w:r>
        <w:rPr>
          <w:rFonts w:hint="eastAsia" w:ascii="仿宋_GB2312" w:hAnsi="Times New Roman" w:eastAsia="仿宋_GB2312" w:cs="仿宋_GB2312"/>
          <w:b w:val="0"/>
          <w:bCs w:val="0"/>
          <w:color w:val="auto"/>
          <w:sz w:val="32"/>
          <w:szCs w:val="32"/>
          <w:highlight w:val="none"/>
        </w:rPr>
        <w:t>责任人的责任。构成犯罪的，依法移送司法机关。</w:t>
      </w:r>
    </w:p>
    <w:p>
      <w:pPr>
        <w:keepNext w:val="0"/>
        <w:keepLines w:val="0"/>
        <w:pageBreakBefore w:val="0"/>
        <w:widowControl w:val="0"/>
        <w:numPr>
          <w:ilvl w:val="-1"/>
          <w:numId w:val="0"/>
        </w:numPr>
        <w:kinsoku/>
        <w:wordWrap/>
        <w:overflowPunct/>
        <w:topLinePunct w:val="0"/>
        <w:bidi w:val="0"/>
        <w:adjustRightInd/>
        <w:snapToGrid/>
        <w:spacing w:line="580" w:lineRule="exact"/>
        <w:ind w:left="0" w:leftChars="0" w:right="0" w:rightChars="0" w:firstLine="640" w:firstLineChars="200"/>
        <w:jc w:val="both"/>
        <w:textAlignment w:val="auto"/>
        <w:outlineLvl w:val="9"/>
        <w:rPr>
          <w:rFonts w:hint="eastAsia" w:ascii="仿宋_GB2312" w:hAnsi="Times New Roman" w:eastAsia="仿宋_GB2312" w:cs="仿宋_GB2312"/>
          <w:b w:val="0"/>
          <w:bCs w:val="0"/>
          <w:color w:val="auto"/>
          <w:sz w:val="32"/>
          <w:szCs w:val="32"/>
          <w:highlight w:val="none"/>
          <w:lang w:eastAsia="zh-CN"/>
        </w:rPr>
      </w:pPr>
      <w:r>
        <w:rPr>
          <w:rFonts w:hint="eastAsia" w:ascii="仿宋_GB2312" w:hAnsi="Times New Roman" w:eastAsia="仿宋_GB2312" w:cs="仿宋_GB2312"/>
          <w:b w:val="0"/>
          <w:bCs w:val="0"/>
          <w:color w:val="auto"/>
          <w:sz w:val="32"/>
          <w:szCs w:val="32"/>
          <w:highlight w:val="none"/>
        </w:rPr>
        <w:t>第十</w:t>
      </w:r>
      <w:r>
        <w:rPr>
          <w:rFonts w:hint="eastAsia" w:ascii="仿宋_GB2312" w:hAnsi="Times New Roman" w:eastAsia="仿宋_GB2312" w:cs="仿宋_GB2312"/>
          <w:b w:val="0"/>
          <w:bCs w:val="0"/>
          <w:color w:val="auto"/>
          <w:sz w:val="32"/>
          <w:szCs w:val="32"/>
          <w:highlight w:val="none"/>
          <w:lang w:val="en-US" w:eastAsia="zh-CN"/>
        </w:rPr>
        <w:t>五</w:t>
      </w:r>
      <w:r>
        <w:rPr>
          <w:rFonts w:hint="eastAsia" w:ascii="仿宋_GB2312" w:hAnsi="Times New Roman" w:eastAsia="仿宋_GB2312" w:cs="仿宋_GB2312"/>
          <w:b w:val="0"/>
          <w:bCs w:val="0"/>
          <w:color w:val="auto"/>
          <w:sz w:val="32"/>
          <w:szCs w:val="32"/>
          <w:highlight w:val="none"/>
        </w:rPr>
        <w:t>条</w:t>
      </w:r>
      <w:r>
        <w:rPr>
          <w:rFonts w:hint="eastAsia" w:ascii="仿宋_GB2312" w:hAnsi="Times New Roman" w:eastAsia="仿宋_GB2312" w:cs="仿宋_GB2312"/>
          <w:b w:val="0"/>
          <w:bCs w:val="0"/>
          <w:color w:val="auto"/>
          <w:sz w:val="32"/>
          <w:szCs w:val="32"/>
          <w:highlight w:val="none"/>
          <w:lang w:val="en-US" w:eastAsia="zh-CN"/>
        </w:rPr>
        <w:t xml:space="preserve"> 本</w:t>
      </w:r>
      <w:r>
        <w:rPr>
          <w:rFonts w:hint="eastAsia" w:ascii="仿宋_GB2312" w:hAnsi="Times New Roman" w:eastAsia="仿宋_GB2312" w:cs="仿宋_GB2312"/>
          <w:b w:val="0"/>
          <w:bCs w:val="0"/>
          <w:color w:val="auto"/>
          <w:sz w:val="32"/>
          <w:szCs w:val="32"/>
          <w:highlight w:val="none"/>
          <w:lang w:eastAsia="zh-CN"/>
        </w:rPr>
        <w:t>实施细则中涉及资金与省市其他同类政策有重复的，按照“就高从优不重复”的原则予以支持，其中涉及研发费用相关的奖励需与项目以往对应年度享受的市级研发费用补助进行查重并按比例扣除。</w:t>
      </w:r>
    </w:p>
    <w:p>
      <w:pPr>
        <w:spacing w:line="580" w:lineRule="exact"/>
        <w:ind w:left="4" w:leftChars="0" w:firstLine="640" w:firstLineChars="200"/>
        <w:rPr>
          <w:rFonts w:hint="eastAsia"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第十</w:t>
      </w:r>
      <w:r>
        <w:rPr>
          <w:rFonts w:hint="eastAsia" w:ascii="仿宋_GB2312" w:hAnsi="Times New Roman" w:eastAsia="仿宋_GB2312" w:cs="仿宋_GB2312"/>
          <w:b w:val="0"/>
          <w:bCs w:val="0"/>
          <w:color w:val="auto"/>
          <w:sz w:val="32"/>
          <w:szCs w:val="32"/>
          <w:highlight w:val="none"/>
          <w:lang w:val="en-US" w:eastAsia="zh-CN"/>
        </w:rPr>
        <w:t>六</w:t>
      </w:r>
      <w:r>
        <w:rPr>
          <w:rFonts w:hint="eastAsia" w:ascii="仿宋_GB2312" w:hAnsi="Times New Roman" w:eastAsia="仿宋_GB2312" w:cs="仿宋_GB2312"/>
          <w:b w:val="0"/>
          <w:bCs w:val="0"/>
          <w:color w:val="auto"/>
          <w:sz w:val="32"/>
          <w:szCs w:val="32"/>
          <w:highlight w:val="none"/>
        </w:rPr>
        <w:t>条</w:t>
      </w:r>
      <w:r>
        <w:rPr>
          <w:rFonts w:ascii="仿宋_GB2312" w:hAnsi="Times New Roman" w:eastAsia="仿宋_GB2312" w:cs="仿宋_GB2312"/>
          <w:b w:val="0"/>
          <w:bCs w:val="0"/>
          <w:color w:val="auto"/>
          <w:sz w:val="32"/>
          <w:szCs w:val="32"/>
          <w:highlight w:val="none"/>
        </w:rPr>
        <w:t xml:space="preserve"> </w:t>
      </w:r>
      <w:r>
        <w:rPr>
          <w:rFonts w:hint="eastAsia" w:ascii="仿宋_GB2312" w:hAnsi="Times New Roman" w:eastAsia="仿宋_GB2312" w:cs="仿宋_GB2312"/>
          <w:b w:val="0"/>
          <w:bCs w:val="0"/>
          <w:color w:val="auto"/>
          <w:sz w:val="32"/>
          <w:szCs w:val="32"/>
          <w:highlight w:val="none"/>
          <w:lang w:eastAsia="zh-CN"/>
        </w:rPr>
        <w:t>《若干措施》中其他未在本</w:t>
      </w:r>
      <w:r>
        <w:rPr>
          <w:rFonts w:hint="eastAsia" w:ascii="仿宋_GB2312" w:hAnsi="Times New Roman" w:eastAsia="仿宋_GB2312" w:cs="仿宋_GB2312"/>
          <w:b w:val="0"/>
          <w:bCs w:val="0"/>
          <w:color w:val="auto"/>
          <w:sz w:val="32"/>
          <w:szCs w:val="32"/>
          <w:highlight w:val="none"/>
        </w:rPr>
        <w:t>实施细则</w:t>
      </w:r>
      <w:r>
        <w:rPr>
          <w:rFonts w:hint="eastAsia" w:ascii="仿宋_GB2312" w:hAnsi="Times New Roman" w:eastAsia="仿宋_GB2312" w:cs="仿宋_GB2312"/>
          <w:b w:val="0"/>
          <w:bCs w:val="0"/>
          <w:color w:val="auto"/>
          <w:sz w:val="32"/>
          <w:szCs w:val="32"/>
          <w:highlight w:val="none"/>
          <w:lang w:eastAsia="zh-CN"/>
        </w:rPr>
        <w:t>中载明的事项另按有关规定执行。</w:t>
      </w:r>
      <w:r>
        <w:rPr>
          <w:rFonts w:hint="default" w:ascii="仿宋_GB2312" w:hAnsi="Times New Roman" w:eastAsia="仿宋_GB2312" w:cs="仿宋_GB2312"/>
          <w:b w:val="0"/>
          <w:bCs w:val="0"/>
          <w:color w:val="auto"/>
          <w:sz w:val="32"/>
          <w:szCs w:val="32"/>
          <w:highlight w:val="none"/>
          <w:lang w:val="en-US" w:eastAsia="zh-CN"/>
        </w:rPr>
        <w:t xml:space="preserve"> </w:t>
      </w:r>
    </w:p>
    <w:p>
      <w:pPr>
        <w:spacing w:line="580" w:lineRule="exact"/>
        <w:ind w:left="4" w:leftChars="0" w:firstLine="640" w:firstLineChars="200"/>
        <w:rPr>
          <w:b w:val="0"/>
          <w:bCs w:val="0"/>
          <w:color w:val="auto"/>
          <w:highlight w:val="none"/>
        </w:rPr>
      </w:pPr>
      <w:r>
        <w:rPr>
          <w:rFonts w:hint="eastAsia" w:ascii="仿宋_GB2312" w:hAnsi="Times New Roman" w:eastAsia="仿宋_GB2312" w:cs="仿宋_GB2312"/>
          <w:b w:val="0"/>
          <w:bCs w:val="0"/>
          <w:color w:val="auto"/>
          <w:sz w:val="32"/>
          <w:szCs w:val="32"/>
          <w:highlight w:val="none"/>
        </w:rPr>
        <w:t>本实施细则</w:t>
      </w:r>
      <w:r>
        <w:rPr>
          <w:rFonts w:hint="eastAsia" w:ascii="仿宋_GB2312" w:hAnsi="Times New Roman" w:eastAsia="仿宋_GB2312" w:cs="仿宋_GB2312"/>
          <w:b w:val="0"/>
          <w:bCs w:val="0"/>
          <w:color w:val="auto"/>
          <w:sz w:val="32"/>
          <w:szCs w:val="32"/>
          <w:highlight w:val="none"/>
          <w:lang w:eastAsia="zh-CN"/>
        </w:rPr>
        <w:t>自</w:t>
      </w:r>
      <w:r>
        <w:rPr>
          <w:rFonts w:hint="eastAsia" w:ascii="仿宋_GB2312" w:hAnsi="Times New Roman" w:eastAsia="仿宋_GB2312" w:cs="仿宋_GB2312"/>
          <w:b w:val="0"/>
          <w:bCs w:val="0"/>
          <w:color w:val="auto"/>
          <w:sz w:val="32"/>
          <w:szCs w:val="32"/>
          <w:highlight w:val="none"/>
          <w:lang w:val="en-US" w:eastAsia="zh-CN"/>
        </w:rPr>
        <w:t>印发之日起施行</w:t>
      </w:r>
      <w:r>
        <w:rPr>
          <w:rFonts w:hint="eastAsia" w:ascii="仿宋_GB2312" w:hAnsi="Times New Roman" w:eastAsia="仿宋_GB2312" w:cs="仿宋_GB2312"/>
          <w:b w:val="0"/>
          <w:bCs w:val="0"/>
          <w:color w:val="auto"/>
          <w:sz w:val="32"/>
          <w:szCs w:val="32"/>
          <w:highlight w:val="none"/>
        </w:rPr>
        <w:t>，有效期至202</w:t>
      </w:r>
      <w:r>
        <w:rPr>
          <w:rFonts w:ascii="仿宋_GB2312" w:hAnsi="Times New Roman" w:eastAsia="仿宋_GB2312" w:cs="仿宋_GB2312"/>
          <w:b w:val="0"/>
          <w:bCs w:val="0"/>
          <w:color w:val="auto"/>
          <w:sz w:val="32"/>
          <w:szCs w:val="32"/>
          <w:highlight w:val="none"/>
        </w:rPr>
        <w:t>6</w:t>
      </w:r>
      <w:r>
        <w:rPr>
          <w:rFonts w:hint="eastAsia" w:ascii="仿宋_GB2312" w:hAnsi="Times New Roman" w:eastAsia="仿宋_GB2312" w:cs="仿宋_GB2312"/>
          <w:b w:val="0"/>
          <w:bCs w:val="0"/>
          <w:color w:val="auto"/>
          <w:sz w:val="32"/>
          <w:szCs w:val="32"/>
          <w:highlight w:val="none"/>
        </w:rPr>
        <w:t>年1</w:t>
      </w:r>
      <w:r>
        <w:rPr>
          <w:rFonts w:ascii="仿宋_GB2312" w:hAnsi="Times New Roman" w:eastAsia="仿宋_GB2312" w:cs="仿宋_GB2312"/>
          <w:b w:val="0"/>
          <w:bCs w:val="0"/>
          <w:color w:val="auto"/>
          <w:sz w:val="32"/>
          <w:szCs w:val="32"/>
          <w:highlight w:val="none"/>
        </w:rPr>
        <w:t>2</w:t>
      </w:r>
      <w:r>
        <w:rPr>
          <w:rFonts w:hint="eastAsia" w:ascii="仿宋_GB2312" w:hAnsi="Times New Roman" w:eastAsia="仿宋_GB2312" w:cs="仿宋_GB2312"/>
          <w:b w:val="0"/>
          <w:bCs w:val="0"/>
          <w:color w:val="auto"/>
          <w:sz w:val="32"/>
          <w:szCs w:val="32"/>
          <w:highlight w:val="none"/>
        </w:rPr>
        <w:t>月</w:t>
      </w:r>
      <w:r>
        <w:rPr>
          <w:rFonts w:ascii="仿宋_GB2312" w:hAnsi="Times New Roman" w:eastAsia="仿宋_GB2312" w:cs="仿宋_GB2312"/>
          <w:b w:val="0"/>
          <w:bCs w:val="0"/>
          <w:color w:val="auto"/>
          <w:sz w:val="32"/>
          <w:szCs w:val="32"/>
          <w:highlight w:val="none"/>
        </w:rPr>
        <w:t>3</w:t>
      </w:r>
      <w:r>
        <w:rPr>
          <w:rFonts w:hint="eastAsia" w:ascii="仿宋_GB2312" w:hAnsi="Times New Roman" w:eastAsia="仿宋_GB2312" w:cs="仿宋_GB2312"/>
          <w:b w:val="0"/>
          <w:bCs w:val="0"/>
          <w:color w:val="auto"/>
          <w:sz w:val="32"/>
          <w:szCs w:val="32"/>
          <w:highlight w:val="none"/>
          <w:lang w:val="en-US" w:eastAsia="zh-CN"/>
        </w:rPr>
        <w:t>1</w:t>
      </w:r>
      <w:r>
        <w:rPr>
          <w:rFonts w:hint="eastAsia" w:ascii="仿宋_GB2312" w:hAnsi="Times New Roman" w:eastAsia="仿宋_GB2312" w:cs="仿宋_GB2312"/>
          <w:b w:val="0"/>
          <w:bCs w:val="0"/>
          <w:color w:val="auto"/>
          <w:sz w:val="32"/>
          <w:szCs w:val="32"/>
          <w:highlight w:val="none"/>
        </w:rPr>
        <w:t>日。</w:t>
      </w:r>
    </w:p>
    <w:p>
      <w:pPr>
        <w:spacing w:line="580" w:lineRule="exact"/>
        <w:ind w:left="4" w:leftChars="0" w:firstLine="640" w:firstLineChars="200"/>
        <w:rPr>
          <w:rFonts w:hint="eastAsia" w:ascii="仿宋_GB2312" w:hAnsi="Times New Roman" w:eastAsia="仿宋_GB2312" w:cs="仿宋_GB2312"/>
          <w:b w:val="0"/>
          <w:bCs w:val="0"/>
          <w:color w:val="auto"/>
          <w:sz w:val="32"/>
          <w:szCs w:val="32"/>
          <w:highlight w:val="none"/>
        </w:rPr>
      </w:pPr>
      <w:r>
        <w:rPr>
          <w:rFonts w:hint="eastAsia" w:ascii="仿宋_GB2312" w:hAnsi="Times New Roman" w:eastAsia="仿宋_GB2312" w:cs="仿宋_GB2312"/>
          <w:b w:val="0"/>
          <w:bCs w:val="0"/>
          <w:color w:val="auto"/>
          <w:sz w:val="32"/>
          <w:szCs w:val="32"/>
          <w:highlight w:val="none"/>
        </w:rPr>
        <w:t>本实施细则由市科技局负责解释。</w:t>
      </w:r>
    </w:p>
    <w:p>
      <w:pPr>
        <w:pStyle w:val="2"/>
        <w:spacing w:after="0" w:line="580" w:lineRule="exact"/>
        <w:rPr>
          <w:rFonts w:hint="eastAsia" w:ascii="仿宋_GB2312" w:hAnsi="Times New Roman" w:eastAsia="仿宋_GB2312" w:cs="仿宋_GB2312"/>
          <w:b w:val="0"/>
          <w:bCs w:val="0"/>
          <w:color w:val="auto"/>
          <w:sz w:val="32"/>
          <w:szCs w:val="32"/>
          <w:highlight w:val="none"/>
        </w:rPr>
      </w:pPr>
    </w:p>
    <w:p>
      <w:pPr>
        <w:pStyle w:val="2"/>
        <w:spacing w:after="0" w:line="580" w:lineRule="exact"/>
        <w:rPr>
          <w:rFonts w:hint="eastAsia" w:ascii="仿宋_GB2312" w:hAnsi="Times New Roman" w:eastAsia="仿宋_GB2312" w:cs="仿宋_GB2312"/>
          <w:b w:val="0"/>
          <w:bCs w:val="0"/>
          <w:color w:val="auto"/>
          <w:sz w:val="32"/>
          <w:szCs w:val="32"/>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88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1" w:hRule="atLeast"/>
        </w:trPr>
        <w:tc>
          <w:tcPr>
            <w:tcW w:w="8886" w:type="dxa"/>
            <w:tcBorders>
              <w:top w:val="single" w:color="auto" w:sz="18" w:space="0"/>
              <w:left w:val="nil"/>
              <w:bottom w:val="single" w:color="auto" w:sz="18" w:space="0"/>
              <w:right w:val="nil"/>
            </w:tcBorders>
            <w:noWrap w:val="0"/>
            <w:vAlign w:val="center"/>
          </w:tcPr>
          <w:p>
            <w:pPr>
              <w:spacing w:line="560" w:lineRule="exact"/>
              <w:ind w:firstLine="140" w:firstLineChars="50"/>
              <w:rPr>
                <w:rFonts w:ascii="仿宋_GB2312" w:eastAsia="仿宋_GB2312"/>
                <w:b w:val="0"/>
                <w:bCs w:val="0"/>
                <w:sz w:val="28"/>
                <w:szCs w:val="28"/>
              </w:rPr>
            </w:pPr>
            <w:r>
              <w:rPr>
                <w:rFonts w:hint="eastAsia" w:ascii="仿宋_GB2312" w:eastAsia="仿宋_GB2312"/>
                <w:b w:val="0"/>
                <w:bCs w:val="0"/>
                <w:sz w:val="28"/>
                <w:szCs w:val="28"/>
              </w:rPr>
              <w:t>厦门市科学技术局</w:t>
            </w:r>
            <w:r>
              <w:rPr>
                <w:rFonts w:ascii="仿宋_GB2312" w:eastAsia="仿宋_GB2312"/>
                <w:b w:val="0"/>
                <w:bCs w:val="0"/>
                <w:sz w:val="28"/>
                <w:szCs w:val="28"/>
              </w:rPr>
              <w:t xml:space="preserve">                </w:t>
            </w:r>
            <w:r>
              <w:rPr>
                <w:rFonts w:hint="eastAsia" w:ascii="仿宋_GB2312" w:eastAsia="仿宋_GB2312"/>
                <w:b w:val="0"/>
                <w:bCs w:val="0"/>
                <w:sz w:val="28"/>
                <w:szCs w:val="28"/>
              </w:rPr>
              <w:t xml:space="preserve"> </w:t>
            </w:r>
            <w:r>
              <w:rPr>
                <w:rFonts w:ascii="仿宋_GB2312" w:eastAsia="仿宋_GB2312"/>
                <w:b w:val="0"/>
                <w:bCs w:val="0"/>
                <w:sz w:val="28"/>
                <w:szCs w:val="28"/>
              </w:rPr>
              <w:t xml:space="preserve">       202</w:t>
            </w:r>
            <w:r>
              <w:rPr>
                <w:rFonts w:hint="eastAsia" w:ascii="仿宋_GB2312" w:eastAsia="仿宋_GB2312"/>
                <w:b w:val="0"/>
                <w:bCs w:val="0"/>
                <w:sz w:val="28"/>
                <w:szCs w:val="28"/>
                <w:lang w:val="en-US" w:eastAsia="zh-CN"/>
              </w:rPr>
              <w:t>4</w:t>
            </w:r>
            <w:r>
              <w:rPr>
                <w:rFonts w:hint="eastAsia" w:ascii="仿宋_GB2312" w:eastAsia="仿宋_GB2312"/>
                <w:b w:val="0"/>
                <w:bCs w:val="0"/>
                <w:sz w:val="28"/>
                <w:szCs w:val="28"/>
              </w:rPr>
              <w:t>年</w:t>
            </w:r>
            <w:r>
              <w:rPr>
                <w:rFonts w:hint="eastAsia" w:ascii="仿宋_GB2312" w:eastAsia="仿宋_GB2312"/>
                <w:b w:val="0"/>
                <w:bCs w:val="0"/>
                <w:sz w:val="28"/>
                <w:szCs w:val="28"/>
                <w:lang w:val="en-US" w:eastAsia="zh-CN"/>
              </w:rPr>
              <w:t>8</w:t>
            </w:r>
            <w:r>
              <w:rPr>
                <w:rFonts w:hint="eastAsia" w:ascii="仿宋_GB2312" w:eastAsia="仿宋_GB2312"/>
                <w:b w:val="0"/>
                <w:bCs w:val="0"/>
                <w:sz w:val="28"/>
                <w:szCs w:val="28"/>
              </w:rPr>
              <w:t>月</w:t>
            </w:r>
            <w:r>
              <w:rPr>
                <w:rFonts w:hint="eastAsia" w:ascii="仿宋_GB2312" w:eastAsia="仿宋_GB2312"/>
                <w:b w:val="0"/>
                <w:bCs w:val="0"/>
                <w:sz w:val="28"/>
                <w:szCs w:val="28"/>
                <w:lang w:val="en-US" w:eastAsia="zh-CN"/>
              </w:rPr>
              <w:t>26</w:t>
            </w:r>
            <w:r>
              <w:rPr>
                <w:rFonts w:hint="eastAsia" w:ascii="仿宋_GB2312" w:eastAsia="仿宋_GB2312"/>
                <w:b w:val="0"/>
                <w:bCs w:val="0"/>
                <w:sz w:val="28"/>
                <w:szCs w:val="28"/>
              </w:rPr>
              <w:t>日印发</w:t>
            </w:r>
          </w:p>
        </w:tc>
      </w:tr>
    </w:tbl>
    <w:p>
      <w:pPr>
        <w:widowControl/>
        <w:spacing w:line="20" w:lineRule="exact"/>
        <w:ind w:firstLine="0" w:firstLineChars="0"/>
        <w:jc w:val="left"/>
        <w:rPr>
          <w:rFonts w:hint="eastAsia" w:asciiTheme="minorHAnsi" w:hAnsiTheme="minorHAnsi" w:eastAsiaTheme="minorEastAsia" w:cstheme="minorBidi"/>
          <w:b w:val="0"/>
          <w:bCs w:val="0"/>
          <w:color w:val="auto"/>
          <w:sz w:val="21"/>
          <w:szCs w:val="22"/>
        </w:rPr>
      </w:pPr>
    </w:p>
    <w:sectPr>
      <w:footerReference r:id="rId3" w:type="default"/>
      <w:pgSz w:w="11906" w:h="16838"/>
      <w:pgMar w:top="1814" w:right="1474" w:bottom="1757"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
    <w:altName w:val="方正仿宋_GBK"/>
    <w:panose1 w:val="00000000000000000000"/>
    <w:charset w:val="00"/>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MicrosoftYaHei">
    <w:altName w:val="仿宋_GB2312"/>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right="139" w:rightChars="66" w:firstLine="218" w:firstLineChars="7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ind w:right="139" w:rightChars="66" w:firstLine="218" w:firstLineChars="7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WNkMjFhMmQ1MjgzODVkYmU4NDk2NDdkODU2MWQifQ=="/>
  </w:docVars>
  <w:rsids>
    <w:rsidRoot w:val="0C865D30"/>
    <w:rsid w:val="000A1E22"/>
    <w:rsid w:val="000C7389"/>
    <w:rsid w:val="0011093F"/>
    <w:rsid w:val="00123777"/>
    <w:rsid w:val="0014496F"/>
    <w:rsid w:val="00175E91"/>
    <w:rsid w:val="001C0DD4"/>
    <w:rsid w:val="00354F98"/>
    <w:rsid w:val="003835CF"/>
    <w:rsid w:val="004371E3"/>
    <w:rsid w:val="00440252"/>
    <w:rsid w:val="00475B54"/>
    <w:rsid w:val="00496597"/>
    <w:rsid w:val="005254FC"/>
    <w:rsid w:val="00591ADE"/>
    <w:rsid w:val="00655217"/>
    <w:rsid w:val="0071149E"/>
    <w:rsid w:val="007F0EFC"/>
    <w:rsid w:val="009248DB"/>
    <w:rsid w:val="00986E41"/>
    <w:rsid w:val="009F24AC"/>
    <w:rsid w:val="00AD2D9B"/>
    <w:rsid w:val="00D66546"/>
    <w:rsid w:val="00D741C3"/>
    <w:rsid w:val="00DC388C"/>
    <w:rsid w:val="00EC0C77"/>
    <w:rsid w:val="00F44C41"/>
    <w:rsid w:val="01FD1152"/>
    <w:rsid w:val="02476280"/>
    <w:rsid w:val="02E9270D"/>
    <w:rsid w:val="03C30161"/>
    <w:rsid w:val="046663C9"/>
    <w:rsid w:val="05074B5E"/>
    <w:rsid w:val="066C3661"/>
    <w:rsid w:val="07A820A6"/>
    <w:rsid w:val="0AD8582A"/>
    <w:rsid w:val="0AFC4984"/>
    <w:rsid w:val="0C865D30"/>
    <w:rsid w:val="0E3A2694"/>
    <w:rsid w:val="0EA637F7"/>
    <w:rsid w:val="0EDFB685"/>
    <w:rsid w:val="0F7DABA2"/>
    <w:rsid w:val="0FFE50A9"/>
    <w:rsid w:val="1263372E"/>
    <w:rsid w:val="13966E30"/>
    <w:rsid w:val="15E32D33"/>
    <w:rsid w:val="16EF49C4"/>
    <w:rsid w:val="1762793D"/>
    <w:rsid w:val="1A525D20"/>
    <w:rsid w:val="1BC03F6C"/>
    <w:rsid w:val="1BCB47B0"/>
    <w:rsid w:val="1E7E0370"/>
    <w:rsid w:val="202E01AD"/>
    <w:rsid w:val="21B00D3E"/>
    <w:rsid w:val="21B34857"/>
    <w:rsid w:val="23871813"/>
    <w:rsid w:val="29FF3178"/>
    <w:rsid w:val="2B586878"/>
    <w:rsid w:val="2FFFEA29"/>
    <w:rsid w:val="308503C3"/>
    <w:rsid w:val="308F13B7"/>
    <w:rsid w:val="30FE5482"/>
    <w:rsid w:val="31D71652"/>
    <w:rsid w:val="33007FBC"/>
    <w:rsid w:val="377F98D1"/>
    <w:rsid w:val="38E87783"/>
    <w:rsid w:val="39B27192"/>
    <w:rsid w:val="3A6735E4"/>
    <w:rsid w:val="3B9B59B1"/>
    <w:rsid w:val="3FAB29CA"/>
    <w:rsid w:val="3FDFCA9B"/>
    <w:rsid w:val="3FFCC648"/>
    <w:rsid w:val="3FFFBE19"/>
    <w:rsid w:val="41B93E0F"/>
    <w:rsid w:val="462420E4"/>
    <w:rsid w:val="470F78A3"/>
    <w:rsid w:val="47DA2C57"/>
    <w:rsid w:val="498B29F4"/>
    <w:rsid w:val="4EDB2799"/>
    <w:rsid w:val="512BC3DA"/>
    <w:rsid w:val="540D4E72"/>
    <w:rsid w:val="54D7440B"/>
    <w:rsid w:val="55307873"/>
    <w:rsid w:val="55A35789"/>
    <w:rsid w:val="571976A9"/>
    <w:rsid w:val="57BC5C9F"/>
    <w:rsid w:val="57F979B0"/>
    <w:rsid w:val="57FCAF91"/>
    <w:rsid w:val="5913502C"/>
    <w:rsid w:val="59BC2DF3"/>
    <w:rsid w:val="5AF954FE"/>
    <w:rsid w:val="5B4A5896"/>
    <w:rsid w:val="5BA7F798"/>
    <w:rsid w:val="5BD38494"/>
    <w:rsid w:val="5CA6628A"/>
    <w:rsid w:val="5DAF8A96"/>
    <w:rsid w:val="5DC64775"/>
    <w:rsid w:val="5DEB5986"/>
    <w:rsid w:val="5EFFB82C"/>
    <w:rsid w:val="5FE7941D"/>
    <w:rsid w:val="614143B1"/>
    <w:rsid w:val="64A565FB"/>
    <w:rsid w:val="64E65F95"/>
    <w:rsid w:val="65877472"/>
    <w:rsid w:val="663A75A4"/>
    <w:rsid w:val="674768BC"/>
    <w:rsid w:val="67F85E08"/>
    <w:rsid w:val="68741EA2"/>
    <w:rsid w:val="6A2E56BF"/>
    <w:rsid w:val="6E91041D"/>
    <w:rsid w:val="6EB36B79"/>
    <w:rsid w:val="6F3B1A57"/>
    <w:rsid w:val="6FEB77F0"/>
    <w:rsid w:val="6FFA703F"/>
    <w:rsid w:val="72EB459F"/>
    <w:rsid w:val="731C6A7B"/>
    <w:rsid w:val="737E24DA"/>
    <w:rsid w:val="7444492A"/>
    <w:rsid w:val="750A7995"/>
    <w:rsid w:val="752272A0"/>
    <w:rsid w:val="75C0563E"/>
    <w:rsid w:val="75F549C5"/>
    <w:rsid w:val="766EFB75"/>
    <w:rsid w:val="76DFAB09"/>
    <w:rsid w:val="779F9FF8"/>
    <w:rsid w:val="77DA93E2"/>
    <w:rsid w:val="785C05B2"/>
    <w:rsid w:val="79C978A6"/>
    <w:rsid w:val="79EB5655"/>
    <w:rsid w:val="7AAA07EA"/>
    <w:rsid w:val="7B034E19"/>
    <w:rsid w:val="7B7F7F7B"/>
    <w:rsid w:val="7BB98B45"/>
    <w:rsid w:val="7BE7229F"/>
    <w:rsid w:val="7C800C79"/>
    <w:rsid w:val="7DB5E023"/>
    <w:rsid w:val="7DBF42C7"/>
    <w:rsid w:val="7DEF3F35"/>
    <w:rsid w:val="7F5F2146"/>
    <w:rsid w:val="7FBED80E"/>
    <w:rsid w:val="7FBFCD4B"/>
    <w:rsid w:val="7FF7A53E"/>
    <w:rsid w:val="9EFA2068"/>
    <w:rsid w:val="B35EA93B"/>
    <w:rsid w:val="B7E387FB"/>
    <w:rsid w:val="BDE68667"/>
    <w:rsid w:val="BDFF5833"/>
    <w:rsid w:val="BE175173"/>
    <w:rsid w:val="BFDF96A7"/>
    <w:rsid w:val="C3AD89B0"/>
    <w:rsid w:val="CB9C023C"/>
    <w:rsid w:val="CEE188C4"/>
    <w:rsid w:val="CEE71FFF"/>
    <w:rsid w:val="D37ED4D7"/>
    <w:rsid w:val="D6AE2F55"/>
    <w:rsid w:val="D6E6FC3A"/>
    <w:rsid w:val="D7A7086A"/>
    <w:rsid w:val="D94E468C"/>
    <w:rsid w:val="DBE9B88E"/>
    <w:rsid w:val="DF7A1AC2"/>
    <w:rsid w:val="DFF9BE15"/>
    <w:rsid w:val="DFFF5C5C"/>
    <w:rsid w:val="E77EA1D4"/>
    <w:rsid w:val="E7FE3A45"/>
    <w:rsid w:val="E9F6447C"/>
    <w:rsid w:val="EBFFA862"/>
    <w:rsid w:val="EF5E68E5"/>
    <w:rsid w:val="EFBDE94E"/>
    <w:rsid w:val="EFDF26A1"/>
    <w:rsid w:val="EFFD1E2E"/>
    <w:rsid w:val="EFFD6054"/>
    <w:rsid w:val="F5BF56D9"/>
    <w:rsid w:val="F5FB0702"/>
    <w:rsid w:val="F61DD55A"/>
    <w:rsid w:val="F7C975E8"/>
    <w:rsid w:val="F7DD9F3D"/>
    <w:rsid w:val="F7DF43F3"/>
    <w:rsid w:val="F99F30CA"/>
    <w:rsid w:val="FA7D43FB"/>
    <w:rsid w:val="FBFFE2A9"/>
    <w:rsid w:val="FCAEE918"/>
    <w:rsid w:val="FD9F6BEA"/>
    <w:rsid w:val="FDEF8719"/>
    <w:rsid w:val="FEC5AF63"/>
    <w:rsid w:val="FEF7BA72"/>
    <w:rsid w:val="FF6C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9"/>
    <w:qFormat/>
    <w:uiPriority w:val="0"/>
    <w:pPr>
      <w:jc w:val="left"/>
    </w:pPr>
  </w:style>
  <w:style w:type="paragraph" w:styleId="4">
    <w:name w:val="Body Text Indent 2"/>
    <w:unhideWhenUsed/>
    <w:qFormat/>
    <w:uiPriority w:val="99"/>
    <w:pPr>
      <w:widowControl w:val="0"/>
      <w:spacing w:after="120" w:line="480" w:lineRule="auto"/>
      <w:ind w:left="420" w:leftChars="200"/>
      <w:jc w:val="both"/>
    </w:pPr>
    <w:rPr>
      <w:rFonts w:ascii="Times New Roman" w:hAnsi="Times New Roman" w:eastAsia="方正仿宋" w:cs="Times New Roman"/>
      <w:kern w:val="2"/>
      <w:sz w:val="32"/>
      <w:szCs w:val="32"/>
      <w:lang w:val="en-US" w:eastAsia="zh-CN" w:bidi="ar-SA"/>
    </w:rPr>
  </w:style>
  <w:style w:type="paragraph" w:styleId="5">
    <w:name w:val="Balloon Text"/>
    <w:basedOn w:val="1"/>
    <w:link w:val="26"/>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0"/>
    <w:qFormat/>
    <w:uiPriority w:val="0"/>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paragraph" w:customStyle="1" w:styleId="14">
    <w:name w:val="TableOfAuthoring"/>
    <w:basedOn w:val="1"/>
    <w:next w:val="1"/>
    <w:qFormat/>
    <w:uiPriority w:val="0"/>
    <w:pPr>
      <w:ind w:left="420" w:leftChars="200"/>
    </w:pPr>
  </w:style>
  <w:style w:type="paragraph" w:styleId="15">
    <w:name w:val="List Paragraph"/>
    <w:basedOn w:val="1"/>
    <w:qFormat/>
    <w:uiPriority w:val="34"/>
    <w:pPr>
      <w:ind w:firstLine="420" w:firstLineChars="200"/>
    </w:pPr>
  </w:style>
  <w:style w:type="paragraph" w:customStyle="1" w:styleId="16">
    <w:name w:val="列表段落1"/>
    <w:basedOn w:val="1"/>
    <w:qFormat/>
    <w:uiPriority w:val="99"/>
    <w:pPr>
      <w:ind w:firstLine="420" w:firstLineChars="200"/>
    </w:pPr>
    <w:rPr>
      <w:rFonts w:ascii="Times New Roman" w:hAnsi="Times New Roman" w:eastAsia="仿宋_GB2312" w:cs="Times New Roman"/>
      <w:sz w:val="32"/>
      <w:szCs w:val="24"/>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页眉 Char"/>
    <w:basedOn w:val="11"/>
    <w:link w:val="7"/>
    <w:qFormat/>
    <w:uiPriority w:val="0"/>
    <w:rPr>
      <w:kern w:val="2"/>
      <w:sz w:val="18"/>
      <w:szCs w:val="18"/>
    </w:rPr>
  </w:style>
  <w:style w:type="character" w:customStyle="1" w:styleId="19">
    <w:name w:val="批注文字 Char"/>
    <w:basedOn w:val="11"/>
    <w:link w:val="3"/>
    <w:qFormat/>
    <w:uiPriority w:val="0"/>
    <w:rPr>
      <w:kern w:val="2"/>
      <w:sz w:val="21"/>
      <w:szCs w:val="22"/>
    </w:rPr>
  </w:style>
  <w:style w:type="character" w:customStyle="1" w:styleId="20">
    <w:name w:val="批注主题 Char"/>
    <w:basedOn w:val="19"/>
    <w:link w:val="9"/>
    <w:qFormat/>
    <w:uiPriority w:val="0"/>
    <w:rPr>
      <w:b/>
      <w:bCs/>
      <w:kern w:val="2"/>
      <w:sz w:val="21"/>
      <w:szCs w:val="22"/>
    </w:rPr>
  </w:style>
  <w:style w:type="character" w:customStyle="1" w:styleId="21">
    <w:name w:val="fontstyle01"/>
    <w:basedOn w:val="11"/>
    <w:qFormat/>
    <w:uiPriority w:val="0"/>
    <w:rPr>
      <w:rFonts w:hint="default" w:ascii="MicrosoftYaHei" w:hAnsi="MicrosoftYaHei"/>
      <w:color w:val="000000"/>
      <w:sz w:val="26"/>
      <w:szCs w:val="26"/>
    </w:rPr>
  </w:style>
  <w:style w:type="paragraph" w:customStyle="1" w:styleId="22">
    <w:name w:val="SBBT1"/>
    <w:basedOn w:val="23"/>
    <w:qFormat/>
    <w:uiPriority w:val="0"/>
    <w:pPr>
      <w:tabs>
        <w:tab w:val="center" w:pos="4678"/>
      </w:tabs>
      <w:ind w:firstLine="0" w:firstLineChars="0"/>
      <w:jc w:val="left"/>
      <w:outlineLvl w:val="0"/>
    </w:pPr>
    <w:rPr>
      <w:rFonts w:cs="Cambria Math"/>
      <w:b/>
      <w:bCs/>
      <w:kern w:val="0"/>
      <w:sz w:val="28"/>
      <w:szCs w:val="28"/>
    </w:rPr>
  </w:style>
  <w:style w:type="paragraph" w:customStyle="1" w:styleId="23">
    <w:name w:val="SBBZW"/>
    <w:basedOn w:val="1"/>
    <w:qFormat/>
    <w:uiPriority w:val="0"/>
    <w:pPr>
      <w:spacing w:line="360" w:lineRule="auto"/>
      <w:ind w:firstLine="480" w:firstLineChars="200"/>
    </w:pPr>
    <w:rPr>
      <w:rFonts w:ascii="Cambria Math" w:hAnsi="Cambria Math"/>
      <w:sz w:val="24"/>
    </w:rPr>
  </w:style>
  <w:style w:type="paragraph" w:customStyle="1" w:styleId="24">
    <w:name w:val="1.正文"/>
    <w:next w:val="1"/>
    <w:qFormat/>
    <w:uiPriority w:val="0"/>
    <w:pPr>
      <w:widowControl w:val="0"/>
      <w:jc w:val="both"/>
    </w:pPr>
    <w:rPr>
      <w:rFonts w:ascii="Times New Roman" w:hAnsi="Times New Roman" w:eastAsia="方正仿宋" w:cs="Times New Roman"/>
      <w:kern w:val="2"/>
      <w:sz w:val="32"/>
      <w:szCs w:val="32"/>
      <w:lang w:val="en-US" w:eastAsia="zh-CN" w:bidi="ar-SA"/>
    </w:rPr>
  </w:style>
  <w:style w:type="paragraph" w:customStyle="1" w:styleId="25">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6125</Words>
  <Characters>6392</Characters>
  <Lines>75</Lines>
  <Paragraphs>21</Paragraphs>
  <TotalTime>10</TotalTime>
  <ScaleCrop>false</ScaleCrop>
  <LinksUpToDate>false</LinksUpToDate>
  <CharactersWithSpaces>6432</CharactersWithSpaces>
  <Application>WPS Office_11.8.2.9601_F1E327BC-269C-435d-A152-05C5408002CA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2024-07-06T23:17:00Z</dcterms:created>
  <dc:creator>CX@XC</dc:creator>
  <cp:lastModifiedBy>傅峻毅</cp:lastModifiedBy>
  <cp:lastPrinted>2024-08-26T23:40:00Z</cp:lastPrinted>
  <dcterms:modified xsi:type="dcterms:W3CDTF">2024-08-26T16:50:49Z</dcterms:modified>
  <dc:title>厦门市科学技术局关于印发</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2052-11.8.2.9601</vt:lpwstr>
  </property>
  <property fmtid="{D5CDD505-2E9C-101B-9397-08002B2CF9AE}" pid="3" name="ICV">
    <vt:lpwstr>1B8ED7A788A160F516F3CB66666F3A88</vt:lpwstr>
  </property>
</Properties>
</file>