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hint="eastAsia" w:ascii="宋体" w:hAnsi="宋体" w:eastAsia="宋体" w:cs="宋体"/>
          <w:b/>
          <w:bCs/>
          <w:sz w:val="44"/>
          <w:szCs w:val="44"/>
          <w:lang w:val="en-US" w:eastAsia="zh-CN"/>
        </w:rPr>
      </w:pPr>
      <w:r>
        <w:rPr>
          <w:rFonts w:hint="eastAsia" w:ascii="宋体" w:hAnsi="宋体" w:eastAsia="宋体" w:cs="宋体"/>
          <w:b/>
          <w:bCs/>
          <w:sz w:val="44"/>
          <w:szCs w:val="44"/>
          <w:lang w:val="en-US" w:eastAsia="zh-CN"/>
        </w:rPr>
        <w:t>厦门市科学技术局 厦门市财政局关于</w:t>
      </w:r>
      <w:r>
        <w:rPr>
          <w:rFonts w:hint="eastAsia" w:ascii="宋体" w:hAnsi="宋体" w:cs="宋体"/>
          <w:b/>
          <w:bCs/>
          <w:sz w:val="44"/>
          <w:szCs w:val="44"/>
          <w:lang w:val="en-US" w:eastAsia="zh-CN"/>
        </w:rPr>
        <w:t>支持</w:t>
      </w:r>
      <w:r>
        <w:rPr>
          <w:rFonts w:hint="eastAsia" w:ascii="宋体" w:hAnsi="宋体" w:eastAsia="宋体" w:cs="宋体"/>
          <w:b/>
          <w:bCs/>
          <w:sz w:val="44"/>
          <w:szCs w:val="44"/>
          <w:lang w:val="en-US" w:eastAsia="zh-CN"/>
        </w:rPr>
        <w:t>高新技术企业高水平</w:t>
      </w:r>
      <w:r>
        <w:rPr>
          <w:rFonts w:hint="eastAsia" w:ascii="宋体" w:hAnsi="宋体" w:cs="宋体"/>
          <w:b/>
          <w:bCs/>
          <w:sz w:val="44"/>
          <w:szCs w:val="44"/>
          <w:lang w:val="en-US" w:eastAsia="zh-CN"/>
        </w:rPr>
        <w:t>科技</w:t>
      </w:r>
      <w:r>
        <w:rPr>
          <w:rFonts w:hint="eastAsia" w:ascii="宋体" w:hAnsi="宋体" w:eastAsia="宋体" w:cs="宋体"/>
          <w:b/>
          <w:bCs/>
          <w:sz w:val="44"/>
          <w:szCs w:val="44"/>
          <w:lang w:val="en-US" w:eastAsia="zh-CN"/>
        </w:rPr>
        <w:t>自立自强的通知</w:t>
      </w:r>
    </w:p>
    <w:p>
      <w:pPr>
        <w:jc w:val="center"/>
        <w:rPr>
          <w:rFonts w:hint="eastAsia" w:ascii="宋体" w:hAnsi="宋体" w:eastAsia="宋体" w:cs="宋体"/>
          <w:b/>
          <w:bCs/>
          <w:sz w:val="32"/>
          <w:szCs w:val="32"/>
          <w:lang w:val="en-US" w:eastAsia="zh-CN"/>
        </w:rPr>
      </w:pPr>
      <w:r>
        <w:rPr>
          <w:rFonts w:hint="eastAsia" w:ascii="方正楷体_GBK" w:hAnsi="方正楷体_GBK" w:eastAsia="方正楷体_GBK" w:cs="方正楷体_GBK"/>
          <w:b/>
          <w:bCs/>
          <w:sz w:val="44"/>
          <w:szCs w:val="44"/>
          <w:lang w:eastAsia="zh-CN"/>
        </w:rPr>
        <w:t>（公开征求意见稿）</w:t>
      </w:r>
    </w:p>
    <w:p>
      <w:pPr>
        <w:keepNext w:val="0"/>
        <w:keepLines w:val="0"/>
        <w:pageBreakBefore w:val="0"/>
        <w:widowControl w:val="0"/>
        <w:topLinePunct w:val="0"/>
        <w:bidi w:val="0"/>
        <w:adjustRightInd w:val="0"/>
        <w:snapToGrid w:val="0"/>
        <w:spacing w:line="360" w:lineRule="auto"/>
        <w:rPr>
          <w:rFonts w:hint="eastAsia" w:ascii="仿宋_GB2312" w:eastAsia="仿宋_GB2312"/>
          <w:sz w:val="32"/>
          <w:szCs w:val="32"/>
        </w:rPr>
      </w:pPr>
      <w:r>
        <w:rPr>
          <w:rFonts w:hint="eastAsia" w:ascii="仿宋_GB2312" w:eastAsia="仿宋_GB2312"/>
          <w:sz w:val="32"/>
          <w:szCs w:val="32"/>
        </w:rPr>
        <w:t>各有关单位：</w:t>
      </w:r>
    </w:p>
    <w:p>
      <w:pPr>
        <w:keepNext w:val="0"/>
        <w:keepLines w:val="0"/>
        <w:pageBreakBefore w:val="0"/>
        <w:widowControl w:val="0"/>
        <w:topLinePunct w:val="0"/>
        <w:bidi w:val="0"/>
        <w:adjustRightInd w:val="0"/>
        <w:snapToGrid w:val="0"/>
        <w:spacing w:line="360" w:lineRule="auto"/>
        <w:ind w:firstLine="640" w:firstLineChars="200"/>
        <w:rPr>
          <w:rFonts w:hint="eastAsia" w:ascii="仿宋_GB2312" w:eastAsia="仿宋_GB2312"/>
          <w:sz w:val="32"/>
          <w:szCs w:val="32"/>
        </w:rPr>
      </w:pPr>
      <w:r>
        <w:rPr>
          <w:rFonts w:hint="eastAsia" w:ascii="仿宋_GB2312" w:eastAsia="仿宋_GB2312"/>
          <w:sz w:val="32"/>
          <w:szCs w:val="32"/>
        </w:rPr>
        <w:t>为贯彻落实《中共厦门市委厦门市人民政府印发&lt;关于深入实施科技创新引领工程争创国家区域科技创新中心的若干措施&gt;的通知》,强化企业科技创新主体地位，促进创新要素向企业聚集，推动我市高新技术企业高质量发展，结合本市实际，制定本政策。</w:t>
      </w:r>
    </w:p>
    <w:p>
      <w:pPr>
        <w:keepNext w:val="0"/>
        <w:keepLines w:val="0"/>
        <w:pageBreakBefore w:val="0"/>
        <w:widowControl w:val="0"/>
        <w:topLinePunct w:val="0"/>
        <w:bidi w:val="0"/>
        <w:adjustRightInd w:val="0"/>
        <w:snapToGrid w:val="0"/>
        <w:spacing w:line="360" w:lineRule="auto"/>
        <w:ind w:firstLine="643" w:firstLineChars="200"/>
        <w:rPr>
          <w:rFonts w:hint="eastAsia" w:ascii="仿宋_GB2312" w:eastAsia="仿宋_GB2312"/>
          <w:sz w:val="32"/>
          <w:szCs w:val="32"/>
        </w:rPr>
      </w:pPr>
      <w:r>
        <w:rPr>
          <w:rFonts w:hint="eastAsia" w:ascii="仿宋_GB2312" w:eastAsia="仿宋_GB2312"/>
          <w:b/>
          <w:bCs/>
          <w:sz w:val="32"/>
          <w:szCs w:val="32"/>
          <w:lang w:val="en-US" w:eastAsia="zh-CN"/>
        </w:rPr>
        <w:t>一、</w:t>
      </w:r>
      <w:r>
        <w:rPr>
          <w:rFonts w:hint="eastAsia" w:ascii="仿宋_GB2312" w:eastAsia="仿宋_GB2312"/>
          <w:b/>
          <w:bCs/>
          <w:sz w:val="32"/>
          <w:szCs w:val="32"/>
        </w:rPr>
        <w:t>鼓励积极申报。</w:t>
      </w:r>
      <w:r>
        <w:rPr>
          <w:rFonts w:hint="eastAsia" w:ascii="仿宋_GB2312" w:eastAsia="仿宋_GB2312"/>
          <w:sz w:val="32"/>
          <w:szCs w:val="32"/>
        </w:rPr>
        <w:t>对于通过国家级高新技术企业认定的</w:t>
      </w:r>
      <w:r>
        <w:rPr>
          <w:rFonts w:hint="eastAsia" w:ascii="仿宋_GB2312" w:eastAsia="仿宋_GB2312"/>
          <w:sz w:val="32"/>
          <w:szCs w:val="32"/>
          <w:lang w:eastAsia="zh-CN"/>
        </w:rPr>
        <w:t>，</w:t>
      </w:r>
      <w:r>
        <w:rPr>
          <w:rFonts w:hint="eastAsia" w:ascii="仿宋_GB2312" w:eastAsia="仿宋_GB2312"/>
          <w:sz w:val="32"/>
          <w:szCs w:val="32"/>
          <w:lang w:val="en-US" w:eastAsia="zh-CN"/>
        </w:rPr>
        <w:t>给予10万元奖励。</w:t>
      </w:r>
    </w:p>
    <w:p>
      <w:pPr>
        <w:keepNext w:val="0"/>
        <w:keepLines w:val="0"/>
        <w:pageBreakBefore w:val="0"/>
        <w:widowControl w:val="0"/>
        <w:numPr>
          <w:ilvl w:val="0"/>
          <w:numId w:val="0"/>
        </w:numPr>
        <w:topLinePunct w:val="0"/>
        <w:bidi w:val="0"/>
        <w:adjustRightInd w:val="0"/>
        <w:snapToGrid w:val="0"/>
        <w:spacing w:line="360" w:lineRule="auto"/>
        <w:ind w:firstLine="643" w:firstLineChars="200"/>
        <w:rPr>
          <w:rFonts w:hint="default" w:ascii="仿宋_GB2312" w:eastAsia="仿宋_GB2312"/>
          <w:color w:val="auto"/>
          <w:sz w:val="32"/>
          <w:szCs w:val="32"/>
          <w:lang w:val="en-US" w:eastAsia="zh-CN"/>
        </w:rPr>
      </w:pPr>
      <w:r>
        <w:rPr>
          <w:rFonts w:hint="eastAsia" w:ascii="仿宋_GB2312" w:eastAsia="仿宋_GB2312"/>
          <w:b/>
          <w:bCs/>
          <w:color w:val="auto"/>
          <w:sz w:val="32"/>
          <w:szCs w:val="32"/>
          <w:lang w:val="en-US" w:eastAsia="zh-CN"/>
        </w:rPr>
        <w:t>二、推进企业高水平科技自立自强。</w:t>
      </w:r>
      <w:r>
        <w:rPr>
          <w:rFonts w:hint="eastAsia" w:ascii="仿宋_GB2312" w:eastAsia="仿宋_GB2312"/>
          <w:color w:val="auto"/>
          <w:sz w:val="32"/>
          <w:szCs w:val="32"/>
          <w:lang w:val="en-US" w:eastAsia="zh-CN"/>
        </w:rPr>
        <w:t>为加快培育和发展新质生产力，激发企业创新活力，提升企业技术创新能力，对于申报上年度研究开发费用总额大于200万元（含）的企业，</w:t>
      </w:r>
      <w:r>
        <w:rPr>
          <w:rFonts w:hint="eastAsia" w:ascii="仿宋_GB2312" w:eastAsia="仿宋_GB2312"/>
          <w:color w:val="auto"/>
          <w:sz w:val="32"/>
          <w:szCs w:val="32"/>
        </w:rPr>
        <w:t>通过国家级高新技术企业认定的</w:t>
      </w:r>
      <w:r>
        <w:rPr>
          <w:rFonts w:hint="eastAsia" w:ascii="仿宋_GB2312" w:eastAsia="仿宋_GB2312"/>
          <w:color w:val="auto"/>
          <w:sz w:val="32"/>
          <w:szCs w:val="32"/>
          <w:lang w:eastAsia="zh-CN"/>
        </w:rPr>
        <w:t>，</w:t>
      </w:r>
      <w:r>
        <w:rPr>
          <w:rFonts w:hint="eastAsia" w:ascii="仿宋_GB2312" w:eastAsia="仿宋_GB2312"/>
          <w:color w:val="auto"/>
          <w:sz w:val="32"/>
          <w:szCs w:val="32"/>
        </w:rPr>
        <w:t>在第一项政策基础上，</w:t>
      </w:r>
      <w:r>
        <w:rPr>
          <w:rFonts w:hint="eastAsia" w:ascii="仿宋_GB2312" w:eastAsia="仿宋_GB2312"/>
          <w:color w:val="auto"/>
          <w:sz w:val="32"/>
          <w:szCs w:val="32"/>
          <w:lang w:val="en-US" w:eastAsia="zh-CN"/>
        </w:rPr>
        <w:t>再给予10万元奖励。</w:t>
      </w:r>
    </w:p>
    <w:p>
      <w:pPr>
        <w:keepNext w:val="0"/>
        <w:keepLines w:val="0"/>
        <w:pageBreakBefore w:val="0"/>
        <w:widowControl w:val="0"/>
        <w:topLinePunct w:val="0"/>
        <w:bidi w:val="0"/>
        <w:adjustRightInd w:val="0"/>
        <w:snapToGrid w:val="0"/>
        <w:spacing w:line="360" w:lineRule="auto"/>
        <w:ind w:firstLine="643" w:firstLineChars="200"/>
        <w:rPr>
          <w:rFonts w:hint="eastAsia" w:ascii="仿宋_GB2312" w:eastAsia="仿宋_GB2312"/>
          <w:sz w:val="32"/>
          <w:szCs w:val="32"/>
        </w:rPr>
      </w:pPr>
      <w:r>
        <w:rPr>
          <w:rFonts w:hint="eastAsia" w:ascii="仿宋_GB2312" w:eastAsia="仿宋_GB2312"/>
          <w:b/>
          <w:bCs/>
          <w:sz w:val="32"/>
          <w:szCs w:val="32"/>
          <w:lang w:val="en-US" w:eastAsia="zh-CN"/>
        </w:rPr>
        <w:t>三、激励提档升级。</w:t>
      </w:r>
      <w:r>
        <w:rPr>
          <w:rFonts w:hint="eastAsia" w:ascii="仿宋_GB2312" w:eastAsia="仿宋_GB2312"/>
          <w:sz w:val="32"/>
          <w:szCs w:val="32"/>
        </w:rPr>
        <w:t>对于资格有效期内的市级高新技术企业，首次通过国家级高新技术企业认定的，在第一项政策基础上，再给予2万元奖励。</w:t>
      </w:r>
    </w:p>
    <w:p>
      <w:pPr>
        <w:keepNext w:val="0"/>
        <w:keepLines w:val="0"/>
        <w:pageBreakBefore w:val="0"/>
        <w:widowControl w:val="0"/>
        <w:topLinePunct w:val="0"/>
        <w:bidi w:val="0"/>
        <w:adjustRightInd w:val="0"/>
        <w:snapToGrid w:val="0"/>
        <w:spacing w:line="360" w:lineRule="auto"/>
        <w:ind w:firstLine="643" w:firstLineChars="200"/>
        <w:rPr>
          <w:rFonts w:hint="eastAsia" w:ascii="仿宋_GB2312" w:eastAsia="仿宋_GB2312"/>
          <w:sz w:val="32"/>
          <w:szCs w:val="32"/>
        </w:rPr>
      </w:pPr>
      <w:r>
        <w:rPr>
          <w:rFonts w:hint="eastAsia" w:ascii="仿宋_GB2312" w:eastAsia="仿宋_GB2312"/>
          <w:b/>
          <w:bCs/>
          <w:sz w:val="32"/>
          <w:szCs w:val="32"/>
          <w:lang w:val="en-US" w:eastAsia="zh-CN"/>
        </w:rPr>
        <w:t>四、强化培育孵化。</w:t>
      </w:r>
      <w:r>
        <w:rPr>
          <w:rFonts w:hint="eastAsia" w:ascii="仿宋_GB2312" w:eastAsia="仿宋_GB2312"/>
          <w:sz w:val="32"/>
          <w:szCs w:val="32"/>
        </w:rPr>
        <w:t>对于资格有效期内的国家级高新技术企业，每孵化一家首次通过认定的国家级高新技术企业、且持股比例不低于30%的，根据实际投入、技术支持情况等因素，给予20万元奖励。</w:t>
      </w:r>
    </w:p>
    <w:p>
      <w:pPr>
        <w:keepNext w:val="0"/>
        <w:keepLines w:val="0"/>
        <w:pageBreakBefore w:val="0"/>
        <w:widowControl w:val="0"/>
        <w:kinsoku w:val="0"/>
        <w:overflowPunct w:val="0"/>
        <w:topLinePunct w:val="0"/>
        <w:autoSpaceDE w:val="0"/>
        <w:autoSpaceDN w:val="0"/>
        <w:bidi w:val="0"/>
        <w:adjustRightInd w:val="0"/>
        <w:snapToGrid w:val="0"/>
        <w:spacing w:line="360" w:lineRule="auto"/>
        <w:ind w:firstLine="643" w:firstLineChars="200"/>
        <w:jc w:val="left"/>
        <w:textAlignment w:val="baseline"/>
        <w:rPr>
          <w:rFonts w:hint="default" w:ascii="仿宋_GB2312" w:eastAsia="仿宋_GB2312"/>
          <w:sz w:val="32"/>
          <w:szCs w:val="32"/>
          <w:lang w:val="en-US"/>
        </w:rPr>
      </w:pPr>
      <w:r>
        <w:rPr>
          <w:rFonts w:hint="eastAsia" w:ascii="仿宋_GB2312" w:eastAsia="仿宋_GB2312"/>
          <w:b/>
          <w:bCs/>
          <w:sz w:val="32"/>
          <w:szCs w:val="32"/>
          <w:lang w:val="en-US" w:eastAsia="zh-CN"/>
        </w:rPr>
        <w:t>五、本通知由市科技局、市财政局负责解释，自2025年3月1日起执行，有效期3年。</w:t>
      </w:r>
      <w:r>
        <w:rPr>
          <w:rFonts w:hint="eastAsia" w:ascii="仿宋_GB2312" w:eastAsia="仿宋_GB2312"/>
          <w:sz w:val="32"/>
          <w:szCs w:val="32"/>
        </w:rPr>
        <w:t>各区(管委会)</w:t>
      </w:r>
      <w:r>
        <w:rPr>
          <w:rFonts w:hint="eastAsia" w:ascii="仿宋_GB2312" w:eastAsia="仿宋_GB2312"/>
          <w:sz w:val="32"/>
          <w:szCs w:val="32"/>
          <w:lang w:val="en-US" w:eastAsia="zh-CN"/>
        </w:rPr>
        <w:t>可</w:t>
      </w:r>
      <w:r>
        <w:rPr>
          <w:rFonts w:hint="eastAsia" w:ascii="仿宋_GB2312" w:eastAsia="仿宋_GB2312"/>
          <w:sz w:val="32"/>
          <w:szCs w:val="32"/>
        </w:rPr>
        <w:t>结合实际情况，制定高新技术企业扶持政策。</w:t>
      </w:r>
      <w:r>
        <w:rPr>
          <w:rFonts w:hint="eastAsia" w:ascii="仿宋_GB2312" w:eastAsia="仿宋_GB2312"/>
          <w:sz w:val="32"/>
          <w:szCs w:val="32"/>
          <w:lang w:eastAsia="zh-CN"/>
        </w:rPr>
        <w:t>《</w:t>
      </w:r>
      <w:r>
        <w:rPr>
          <w:rFonts w:hint="eastAsia" w:ascii="仿宋_GB2312" w:eastAsia="仿宋_GB2312"/>
          <w:sz w:val="32"/>
          <w:szCs w:val="32"/>
        </w:rPr>
        <w:t>厦门市科学技术局 厦门市财政局关于支持高新技术企业高质量发展扶持政策的通知</w:t>
      </w:r>
      <w:r>
        <w:rPr>
          <w:rFonts w:hint="eastAsia" w:ascii="仿宋_GB2312" w:eastAsia="仿宋_GB2312"/>
          <w:sz w:val="32"/>
          <w:szCs w:val="32"/>
          <w:lang w:eastAsia="zh-CN"/>
        </w:rPr>
        <w:t>》（</w:t>
      </w:r>
      <w:r>
        <w:rPr>
          <w:rFonts w:hint="eastAsia" w:ascii="仿宋_GB2312" w:eastAsia="仿宋_GB2312"/>
          <w:sz w:val="32"/>
          <w:szCs w:val="32"/>
        </w:rPr>
        <w:t>厦科规〔2024〕3号</w:t>
      </w:r>
      <w:r>
        <w:rPr>
          <w:rFonts w:hint="eastAsia" w:ascii="仿宋_GB2312" w:eastAsia="仿宋_GB2312"/>
          <w:sz w:val="32"/>
          <w:szCs w:val="32"/>
          <w:lang w:eastAsia="zh-CN"/>
        </w:rPr>
        <w:t>）</w:t>
      </w:r>
      <w:r>
        <w:rPr>
          <w:rFonts w:hint="eastAsia" w:ascii="仿宋_GB2312" w:eastAsia="仿宋_GB2312"/>
          <w:sz w:val="32"/>
          <w:szCs w:val="32"/>
          <w:lang w:val="en-US" w:eastAsia="zh-CN"/>
        </w:rPr>
        <w:t>废止。</w:t>
      </w:r>
    </w:p>
    <w:p>
      <w:pPr>
        <w:keepNext w:val="0"/>
        <w:keepLines w:val="0"/>
        <w:pageBreakBefore w:val="0"/>
        <w:widowControl w:val="0"/>
        <w:wordWrap w:val="0"/>
        <w:topLinePunct w:val="0"/>
        <w:bidi w:val="0"/>
        <w:adjustRightInd w:val="0"/>
        <w:snapToGrid w:val="0"/>
        <w:spacing w:line="360" w:lineRule="auto"/>
        <w:ind w:firstLine="640" w:firstLineChars="200"/>
        <w:jc w:val="right"/>
        <w:rPr>
          <w:rFonts w:hint="eastAsia" w:ascii="仿宋_GB2312" w:eastAsia="仿宋_GB2312"/>
          <w:color w:val="auto"/>
          <w:sz w:val="32"/>
          <w:szCs w:val="32"/>
        </w:rPr>
      </w:pPr>
    </w:p>
    <w:p>
      <w:pPr>
        <w:keepNext w:val="0"/>
        <w:keepLines w:val="0"/>
        <w:pageBreakBefore w:val="0"/>
        <w:widowControl w:val="0"/>
        <w:wordWrap w:val="0"/>
        <w:topLinePunct w:val="0"/>
        <w:bidi w:val="0"/>
        <w:adjustRightInd w:val="0"/>
        <w:snapToGrid w:val="0"/>
        <w:spacing w:line="360" w:lineRule="auto"/>
        <w:ind w:firstLine="640" w:firstLineChars="200"/>
        <w:jc w:val="right"/>
        <w:rPr>
          <w:rFonts w:hint="eastAsia" w:ascii="仿宋_GB2312" w:eastAsia="仿宋_GB2312"/>
          <w:color w:val="auto"/>
          <w:sz w:val="32"/>
          <w:szCs w:val="32"/>
        </w:rPr>
      </w:pPr>
      <w:bookmarkStart w:id="0" w:name="_GoBack"/>
      <w:bookmarkEnd w:id="0"/>
      <w:r>
        <w:rPr>
          <w:rFonts w:hint="eastAsia" w:ascii="仿宋_GB2312" w:eastAsia="仿宋_GB2312"/>
          <w:color w:val="auto"/>
          <w:sz w:val="32"/>
          <w:szCs w:val="32"/>
        </w:rPr>
        <w:t>厦门市科学技术局  厦门市财政局</w:t>
      </w:r>
    </w:p>
    <w:p>
      <w:pPr>
        <w:keepNext w:val="0"/>
        <w:keepLines w:val="0"/>
        <w:pageBreakBefore w:val="0"/>
        <w:widowControl w:val="0"/>
        <w:topLinePunct w:val="0"/>
        <w:bidi w:val="0"/>
        <w:adjustRightInd w:val="0"/>
        <w:snapToGrid w:val="0"/>
        <w:spacing w:line="360" w:lineRule="auto"/>
        <w:ind w:firstLine="640" w:firstLineChars="200"/>
        <w:jc w:val="right"/>
        <w:rPr>
          <w:color w:val="auto"/>
        </w:rPr>
      </w:pPr>
      <w:r>
        <w:rPr>
          <w:rFonts w:hint="eastAsia" w:ascii="仿宋_GB2312" w:hAnsi="Times New Roman" w:eastAsia="仿宋_GB2312" w:cs="Times New Roman"/>
          <w:color w:val="auto"/>
          <w:sz w:val="32"/>
          <w:szCs w:val="32"/>
          <w:lang w:val="en-US" w:eastAsia="zh-CN"/>
        </w:rPr>
        <w:t xml:space="preserve"> </w:t>
      </w:r>
      <w:r>
        <w:rPr>
          <w:rFonts w:hint="eastAsia" w:ascii="仿宋_GB2312" w:hAnsi="Times New Roman" w:eastAsia="仿宋_GB2312" w:cs="Times New Roman"/>
          <w:color w:val="auto"/>
          <w:sz w:val="32"/>
          <w:szCs w:val="32"/>
        </w:rPr>
        <w:t>年</w:t>
      </w:r>
      <w:r>
        <w:rPr>
          <w:rFonts w:hint="eastAsia" w:ascii="仿宋_GB2312" w:hAnsi="Times New Roman" w:eastAsia="仿宋_GB2312" w:cs="Times New Roman"/>
          <w:color w:val="auto"/>
          <w:sz w:val="32"/>
          <w:szCs w:val="32"/>
          <w:lang w:val="en-US" w:eastAsia="zh-CN"/>
        </w:rPr>
        <w:t xml:space="preserve"> </w:t>
      </w:r>
      <w:r>
        <w:rPr>
          <w:rFonts w:hint="eastAsia" w:ascii="仿宋_GB2312" w:hAnsi="Times New Roman" w:eastAsia="仿宋_GB2312" w:cs="Times New Roman"/>
          <w:color w:val="auto"/>
          <w:sz w:val="32"/>
          <w:szCs w:val="32"/>
        </w:rPr>
        <w:t>月</w:t>
      </w:r>
      <w:r>
        <w:rPr>
          <w:rFonts w:hint="eastAsia" w:ascii="仿宋_GB2312" w:hAnsi="Times New Roman" w:eastAsia="仿宋_GB2312" w:cs="Times New Roman"/>
          <w:color w:val="auto"/>
          <w:sz w:val="32"/>
          <w:szCs w:val="32"/>
          <w:lang w:val="en-US" w:eastAsia="zh-CN"/>
        </w:rPr>
        <w:t xml:space="preserve"> </w:t>
      </w:r>
      <w:r>
        <w:rPr>
          <w:rFonts w:hint="eastAsia" w:ascii="仿宋_GB2312" w:hAnsi="Times New Roman" w:eastAsia="仿宋_GB2312" w:cs="Times New Roman"/>
          <w:color w:val="auto"/>
          <w:sz w:val="32"/>
          <w:szCs w:val="32"/>
        </w:rPr>
        <w:t>日</w:t>
      </w:r>
    </w:p>
    <w:p>
      <w:pPr>
        <w:rPr>
          <w:rFonts w:hint="eastAsia"/>
          <w:color w:val="auto"/>
        </w:rPr>
      </w:pPr>
    </w:p>
    <w:p>
      <w:pPr>
        <w:keepNext w:val="0"/>
        <w:keepLines w:val="0"/>
        <w:pageBreakBefore w:val="0"/>
        <w:widowControl w:val="0"/>
        <w:kinsoku/>
        <w:overflowPunct/>
        <w:topLinePunct w:val="0"/>
        <w:autoSpaceDE/>
        <w:autoSpaceDN/>
        <w:bidi w:val="0"/>
        <w:adjustRightInd/>
        <w:snapToGrid/>
        <w:spacing w:line="560" w:lineRule="exact"/>
        <w:ind w:firstLine="420" w:firstLineChars="200"/>
        <w:textAlignment w:val="auto"/>
      </w:pPr>
    </w:p>
    <w:sectPr>
      <w:pgSz w:w="11906" w:h="16838"/>
      <w:pgMar w:top="1440" w:right="1800" w:bottom="1440" w:left="1800" w:header="720" w:footer="72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Liberation Sans">
    <w:altName w:val="Arial"/>
    <w:panose1 w:val="00000000000000000000"/>
    <w:charset w:val="00"/>
    <w:family w:val="swiss"/>
    <w:pitch w:val="default"/>
    <w:sig w:usb0="00000000" w:usb1="00000000" w:usb2="00000000" w:usb3="00000000" w:csb0="00040001" w:csb1="00000000"/>
  </w:font>
  <w:font w:name="Noto Sans CJK SC Regular">
    <w:altName w:val="宋体"/>
    <w:panose1 w:val="020B0500000000000000"/>
    <w:charset w:val="86"/>
    <w:family w:val="auto"/>
    <w:pitch w:val="default"/>
    <w:sig w:usb0="00000000" w:usb1="00000000" w:usb2="00000016" w:usb3="00000000" w:csb0="602E0107" w:csb1="00000000"/>
  </w:font>
  <w:font w:name="方正楷体_GBK">
    <w:altName w:val="微软雅黑"/>
    <w:panose1 w:val="02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
  <w:drawingGridVerticalSpacing w:val="1"/>
  <w:displayHorizontalDrawingGridEvery w:val="0"/>
  <w:displayVerticalDrawingGridEvery w:val="0"/>
  <w:doNotUseMarginsForDrawingGridOrigin w:val="1"/>
  <w:drawingGridHorizontalOrigin w:val="0"/>
  <w:drawingGridVerticalOrigin w:val="0"/>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diZDA2OGVhMzIxMmJmOTM0YjI1OWU0NGJiNDE1YWEifQ=="/>
    <w:docVar w:name="KSO_WPS_MARK_KEY" w:val="cf6ce416-a654-4911-9f63-18b22dc5495e"/>
  </w:docVars>
  <w:rsids>
    <w:rsidRoot w:val="00000000"/>
    <w:rsid w:val="03C9104F"/>
    <w:rsid w:val="15DE15A6"/>
    <w:rsid w:val="16447961"/>
    <w:rsid w:val="242172C1"/>
    <w:rsid w:val="24283062"/>
    <w:rsid w:val="255E49E2"/>
    <w:rsid w:val="25E35B63"/>
    <w:rsid w:val="28C1213C"/>
    <w:rsid w:val="32110B65"/>
    <w:rsid w:val="3CD21A0F"/>
    <w:rsid w:val="3CFFEE3F"/>
    <w:rsid w:val="5BDE39BF"/>
    <w:rsid w:val="66752754"/>
    <w:rsid w:val="6FA4CA82"/>
    <w:rsid w:val="741267CD"/>
    <w:rsid w:val="77A65925"/>
    <w:rsid w:val="7D941212"/>
    <w:rsid w:val="CBE7081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uppressAutoHyphens/>
      <w:bidi w:val="0"/>
      <w:jc w:val="both"/>
    </w:pPr>
    <w:rPr>
      <w:rFonts w:ascii="Calibri" w:hAnsi="Calibri" w:eastAsia="宋体" w:cs="Times New Roman"/>
      <w:color w:val="auto"/>
      <w:kern w:val="2"/>
      <w:sz w:val="21"/>
      <w:szCs w:val="24"/>
      <w:lang w:val="en-US" w:eastAsia="zh-CN" w:bidi="ar-SA"/>
    </w:rPr>
  </w:style>
  <w:style w:type="character" w:default="1" w:styleId="6">
    <w:name w:val="Default Paragraph Font"/>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caption"/>
    <w:basedOn w:val="1"/>
    <w:next w:val="1"/>
    <w:qFormat/>
    <w:uiPriority w:val="0"/>
    <w:pPr>
      <w:widowControl w:val="0"/>
      <w:suppressLineNumbers/>
      <w:suppressAutoHyphens/>
      <w:spacing w:before="120" w:after="120"/>
    </w:pPr>
    <w:rPr>
      <w:i/>
      <w:iCs/>
      <w:sz w:val="24"/>
      <w:szCs w:val="24"/>
    </w:rPr>
  </w:style>
  <w:style w:type="paragraph" w:styleId="3">
    <w:name w:val="Body Text"/>
    <w:basedOn w:val="1"/>
    <w:qFormat/>
    <w:uiPriority w:val="0"/>
    <w:pPr>
      <w:spacing w:before="0" w:after="140" w:line="276" w:lineRule="auto"/>
    </w:pPr>
  </w:style>
  <w:style w:type="paragraph" w:styleId="4">
    <w:name w:val="List"/>
    <w:basedOn w:val="3"/>
    <w:qFormat/>
    <w:uiPriority w:val="0"/>
  </w:style>
  <w:style w:type="character" w:customStyle="1" w:styleId="7">
    <w:name w:val="默认段落字体1"/>
    <w:qFormat/>
    <w:uiPriority w:val="0"/>
  </w:style>
  <w:style w:type="paragraph" w:customStyle="1" w:styleId="8">
    <w:name w:val="Index"/>
    <w:basedOn w:val="1"/>
    <w:qFormat/>
    <w:uiPriority w:val="0"/>
    <w:pPr>
      <w:widowControl w:val="0"/>
      <w:suppressLineNumbers/>
      <w:suppressAutoHyphens/>
    </w:pPr>
  </w:style>
  <w:style w:type="paragraph" w:customStyle="1" w:styleId="9">
    <w:name w:val="Heading"/>
    <w:basedOn w:val="1"/>
    <w:next w:val="3"/>
    <w:qFormat/>
    <w:uiPriority w:val="0"/>
    <w:pPr>
      <w:keepNext/>
      <w:widowControl w:val="0"/>
      <w:suppressAutoHyphens/>
      <w:spacing w:before="240" w:after="120"/>
    </w:pPr>
    <w:rPr>
      <w:rFonts w:ascii="Liberation Sans" w:hAnsi="Liberation Sans" w:eastAsia="Noto Sans CJK SC Regular" w:cs="Noto Sans CJK SC Regular"/>
      <w:sz w:val="28"/>
      <w:szCs w:val="28"/>
      <w:lang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2</Pages>
  <Words>591</Words>
  <Characters>604</Characters>
  <TotalTime>9</TotalTime>
  <ScaleCrop>false</ScaleCrop>
  <LinksUpToDate>false</LinksUpToDate>
  <CharactersWithSpaces>611</CharactersWithSpaces>
  <Application>WPS Office_11.1.0.12165_F1E327BC-269C-435d-A152-05C5408002CA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2018-11-27T01:47:00Z</dcterms:created>
  <dc:creator>xmadmin</dc:creator>
  <cp:lastModifiedBy>TANGDH</cp:lastModifiedBy>
  <cp:lastPrinted>2024-12-20T09:28:00Z</cp:lastPrinted>
  <dcterms:modified xsi:type="dcterms:W3CDTF">2025-02-10T01:19:38Z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2052-11.1.0.12165</vt:lpwstr>
  </property>
  <property fmtid="{D5CDD505-2E9C-101B-9397-08002B2CF9AE}" pid="3" name="ICV">
    <vt:lpwstr>2DE0EF7536EF4B449B27616216520B0B</vt:lpwstr>
  </property>
  <property fmtid="{D5CDD505-2E9C-101B-9397-08002B2CF9AE}" pid="4" name="KSOTemplateDocerSaveRecord">
    <vt:lpwstr>eyJoZGlkIjoiNTc2Mzg2YmIzNTEyMGEwOTc3OWRmN2U4YTc2ZWJmNmYiLCJ1c2VySWQiOiIxNTcyMDg1Njc2In0=</vt:lpwstr>
  </property>
</Properties>
</file>