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DD" w:rsidRDefault="00E25FDD">
      <w:pPr>
        <w:widowControl/>
        <w:spacing w:line="320" w:lineRule="exact"/>
        <w:rPr>
          <w:rFonts w:ascii="Times New Roman" w:eastAsia="黑体" w:hAnsi="Times New Roman" w:cs="Times New Roman"/>
          <w:color w:val="000000" w:themeColor="text1"/>
          <w:sz w:val="32"/>
          <w:szCs w:val="32"/>
        </w:rPr>
      </w:pPr>
    </w:p>
    <w:p w:rsidR="00E25FDD" w:rsidRDefault="0040083A">
      <w:pPr>
        <w:widowControl/>
        <w:spacing w:line="320"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附件</w:t>
      </w:r>
      <w:r w:rsidR="00EF67C4">
        <w:rPr>
          <w:rFonts w:ascii="Times New Roman" w:eastAsia="黑体" w:hAnsi="Times New Roman" w:cs="Times New Roman" w:hint="eastAsia"/>
          <w:color w:val="000000" w:themeColor="text1"/>
          <w:sz w:val="32"/>
          <w:szCs w:val="32"/>
        </w:rPr>
        <w:t>2</w:t>
      </w:r>
    </w:p>
    <w:p w:rsidR="00E25FDD" w:rsidRDefault="00E25FDD">
      <w:pPr>
        <w:spacing w:line="400" w:lineRule="exact"/>
        <w:jc w:val="center"/>
        <w:rPr>
          <w:rFonts w:ascii="方正小标宋_GBK" w:eastAsia="方正小标宋_GBK" w:hAnsi="方正小标宋_GBK" w:cs="方正小标宋_GBK"/>
          <w:bCs/>
          <w:color w:val="000000" w:themeColor="text1"/>
          <w:sz w:val="36"/>
          <w:szCs w:val="36"/>
        </w:rPr>
      </w:pPr>
    </w:p>
    <w:p w:rsidR="00E25FDD" w:rsidRDefault="0040083A">
      <w:pPr>
        <w:spacing w:line="400" w:lineRule="exact"/>
        <w:jc w:val="center"/>
        <w:rPr>
          <w:rFonts w:ascii="方正小标宋_GBK" w:eastAsia="方正小标宋_GBK" w:hAnsi="方正小标宋_GBK" w:cs="方正小标宋_GBK"/>
          <w:bCs/>
          <w:color w:val="000000" w:themeColor="text1"/>
          <w:sz w:val="36"/>
          <w:szCs w:val="36"/>
        </w:rPr>
      </w:pPr>
      <w:r>
        <w:rPr>
          <w:rFonts w:ascii="方正小标宋_GBK" w:eastAsia="方正小标宋_GBK" w:hAnsi="方正小标宋_GBK" w:cs="方正小标宋_GBK" w:hint="eastAsia"/>
          <w:bCs/>
          <w:color w:val="000000" w:themeColor="text1"/>
          <w:sz w:val="36"/>
          <w:szCs w:val="36"/>
        </w:rPr>
        <w:t>省级科技企业孵化器考核评价指标体系</w:t>
      </w:r>
    </w:p>
    <w:p w:rsidR="00E25FDD" w:rsidRDefault="00E25FDD">
      <w:pPr>
        <w:spacing w:line="400" w:lineRule="exact"/>
        <w:jc w:val="center"/>
        <w:rPr>
          <w:rFonts w:ascii="方正小标宋_GBK" w:eastAsia="方正小标宋_GBK" w:hAnsi="方正小标宋_GBK" w:cs="方正小标宋_GBK"/>
          <w:bCs/>
          <w:color w:val="000000" w:themeColor="text1"/>
          <w:sz w:val="36"/>
          <w:szCs w:val="36"/>
        </w:rPr>
      </w:pPr>
    </w:p>
    <w:tbl>
      <w:tblPr>
        <w:tblStyle w:val="ac"/>
        <w:tblW w:w="9108" w:type="dxa"/>
        <w:jc w:val="center"/>
        <w:tblLayout w:type="fixed"/>
        <w:tblLook w:val="04A0"/>
      </w:tblPr>
      <w:tblGrid>
        <w:gridCol w:w="1242"/>
        <w:gridCol w:w="4111"/>
        <w:gridCol w:w="709"/>
        <w:gridCol w:w="1852"/>
        <w:gridCol w:w="1194"/>
      </w:tblGrid>
      <w:tr w:rsidR="00E25FDD">
        <w:trPr>
          <w:trHeight w:val="284"/>
          <w:jc w:val="center"/>
        </w:trPr>
        <w:tc>
          <w:tcPr>
            <w:tcW w:w="1242" w:type="dxa"/>
            <w:vAlign w:val="center"/>
          </w:tcPr>
          <w:p w:rsidR="00E25FDD" w:rsidRDefault="0040083A">
            <w:pPr>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指标类别</w:t>
            </w:r>
          </w:p>
        </w:tc>
        <w:tc>
          <w:tcPr>
            <w:tcW w:w="4111" w:type="dxa"/>
            <w:vAlign w:val="center"/>
          </w:tcPr>
          <w:p w:rsidR="00E25FDD" w:rsidRDefault="0040083A">
            <w:pPr>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具体指标</w:t>
            </w:r>
          </w:p>
        </w:tc>
        <w:tc>
          <w:tcPr>
            <w:tcW w:w="709" w:type="dxa"/>
            <w:vAlign w:val="center"/>
          </w:tcPr>
          <w:p w:rsidR="00E25FDD" w:rsidRDefault="0040083A">
            <w:pPr>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分值</w:t>
            </w:r>
          </w:p>
        </w:tc>
        <w:tc>
          <w:tcPr>
            <w:tcW w:w="1852" w:type="dxa"/>
            <w:vAlign w:val="center"/>
          </w:tcPr>
          <w:p w:rsidR="00E25FDD" w:rsidRDefault="0040083A">
            <w:pPr>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依据材料</w:t>
            </w:r>
          </w:p>
        </w:tc>
        <w:tc>
          <w:tcPr>
            <w:tcW w:w="1194" w:type="dxa"/>
            <w:vAlign w:val="center"/>
          </w:tcPr>
          <w:p w:rsidR="00E25FDD" w:rsidRDefault="0040083A">
            <w:pPr>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指标类型</w:t>
            </w:r>
          </w:p>
        </w:tc>
      </w:tr>
      <w:tr w:rsidR="00E25FDD">
        <w:trPr>
          <w:trHeight w:val="90"/>
          <w:jc w:val="center"/>
        </w:trPr>
        <w:tc>
          <w:tcPr>
            <w:tcW w:w="1242" w:type="dxa"/>
            <w:vMerge w:val="restart"/>
            <w:vAlign w:val="center"/>
          </w:tcPr>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孵化服务</w:t>
            </w:r>
          </w:p>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能力</w:t>
            </w: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可支配使用的孵化场地面积</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在孵企业使用的场地面积（含公共服务场地）占总面积比例</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创业导师数量与在孵企业总数比例</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配备自有种子资金或合作的孵化资金规模</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接受专业培训人数占管理机构总人数的比例</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孵化器管理运营情况及专业化水平</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284"/>
          <w:jc w:val="center"/>
        </w:trPr>
        <w:tc>
          <w:tcPr>
            <w:tcW w:w="1242" w:type="dxa"/>
            <w:vMerge/>
            <w:vAlign w:val="center"/>
          </w:tcPr>
          <w:p w:rsidR="00E25FDD" w:rsidRDefault="00E25FDD">
            <w:pPr>
              <w:jc w:val="cente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为在孵企业提供创业咨询、创业导师、创业培训、企业管理、市场对接、法律、人力资源、技术开发与交流、创业投融资、技术创新、国际合作等服务工作情况</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9</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459"/>
          <w:jc w:val="center"/>
        </w:trPr>
        <w:tc>
          <w:tcPr>
            <w:tcW w:w="1242" w:type="dxa"/>
            <w:vMerge w:val="restart"/>
            <w:vAlign w:val="center"/>
          </w:tcPr>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孵化服务</w:t>
            </w:r>
          </w:p>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成效</w:t>
            </w: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在孵企业数量</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累计毕业企业数量</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当年申请或授权的知识产权的在孵企业比例</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502"/>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获得投融资的企业数量</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考核期内公共技术服务平台建设情况和服务效果</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考核期内孵化器开展特色工作及典型孵化案例</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孵化器在区域范围内的辐射效应及对当地创新创业文化氛围的营造能力</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284"/>
          <w:jc w:val="center"/>
        </w:trPr>
        <w:tc>
          <w:tcPr>
            <w:tcW w:w="1242" w:type="dxa"/>
            <w:vMerge/>
            <w:vAlign w:val="center"/>
          </w:tcPr>
          <w:p w:rsidR="00E25FDD" w:rsidRDefault="00E25FDD">
            <w:pPr>
              <w:rPr>
                <w:rFonts w:ascii="仿宋_GB2312" w:eastAsia="仿宋_GB2312" w:hAnsi="仿宋_GB2312" w:cs="仿宋_GB2312"/>
                <w:b/>
                <w:bCs/>
                <w:color w:val="000000" w:themeColor="text1"/>
                <w:kern w:val="0"/>
                <w:szCs w:val="21"/>
              </w:rPr>
            </w:pP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考核期内培育高新技术企业、科技型中小企业、上市企业、挂牌企业的情况</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7</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r w:rsidR="00E25FDD">
        <w:trPr>
          <w:trHeight w:val="284"/>
          <w:jc w:val="center"/>
        </w:trPr>
        <w:tc>
          <w:tcPr>
            <w:tcW w:w="1242" w:type="dxa"/>
            <w:vAlign w:val="center"/>
          </w:tcPr>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参与火炬统计情况</w:t>
            </w: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考核期内孵化器参加火炬统计的情况</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2021-2023</w:t>
            </w:r>
            <w:r>
              <w:rPr>
                <w:rFonts w:ascii="仿宋_GB2312" w:eastAsia="仿宋_GB2312" w:hAnsi="仿宋_GB2312" w:cs="仿宋_GB2312" w:hint="eastAsia"/>
                <w:color w:val="000000" w:themeColor="text1"/>
                <w:kern w:val="0"/>
                <w:szCs w:val="21"/>
              </w:rPr>
              <w:t>年度火炬统计数据</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定量</w:t>
            </w:r>
          </w:p>
        </w:tc>
      </w:tr>
      <w:tr w:rsidR="00E25FDD">
        <w:trPr>
          <w:trHeight w:val="284"/>
          <w:jc w:val="center"/>
        </w:trPr>
        <w:tc>
          <w:tcPr>
            <w:tcW w:w="1242" w:type="dxa"/>
            <w:vAlign w:val="center"/>
          </w:tcPr>
          <w:p w:rsidR="00E25FDD" w:rsidRDefault="0040083A">
            <w:pPr>
              <w:jc w:val="center"/>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加分项</w:t>
            </w:r>
          </w:p>
        </w:tc>
        <w:tc>
          <w:tcPr>
            <w:tcW w:w="4111"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考核期内孵化器为入驻企业减免租金及服务费的情况</w:t>
            </w:r>
          </w:p>
        </w:tc>
        <w:tc>
          <w:tcPr>
            <w:tcW w:w="709"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1852" w:type="dxa"/>
            <w:vAlign w:val="center"/>
          </w:tcPr>
          <w:p w:rsidR="00E25FDD" w:rsidRDefault="0040083A">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自评报告</w:t>
            </w:r>
          </w:p>
        </w:tc>
        <w:tc>
          <w:tcPr>
            <w:tcW w:w="1194" w:type="dxa"/>
            <w:vAlign w:val="center"/>
          </w:tcPr>
          <w:p w:rsidR="00E25FDD" w:rsidRDefault="0040083A">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定性</w:t>
            </w:r>
          </w:p>
        </w:tc>
      </w:tr>
    </w:tbl>
    <w:p w:rsidR="00E25FDD" w:rsidRDefault="00E25FDD">
      <w:pPr>
        <w:rPr>
          <w:rFonts w:ascii="Times New Roman" w:eastAsia="黑体" w:hAnsi="Times New Roman" w:cs="Times New Roman"/>
          <w:color w:val="000000" w:themeColor="text1"/>
          <w:sz w:val="32"/>
          <w:szCs w:val="32"/>
        </w:rPr>
      </w:pPr>
    </w:p>
    <w:sectPr w:rsidR="00E25FDD" w:rsidSect="00EF67C4">
      <w:pgSz w:w="11906" w:h="16838"/>
      <w:pgMar w:top="1440" w:right="1797" w:bottom="1440" w:left="1797" w:header="851" w:footer="992" w:gutter="0"/>
      <w:pgNumType w:start="6"/>
      <w:cols w:space="0"/>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3A" w:rsidRDefault="0040083A" w:rsidP="00E25FDD">
      <w:r>
        <w:separator/>
      </w:r>
    </w:p>
  </w:endnote>
  <w:endnote w:type="continuationSeparator" w:id="1">
    <w:p w:rsidR="0040083A" w:rsidRDefault="0040083A" w:rsidP="00E25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0E0F593-90D7-4720-B627-145A9804CDB1}"/>
  </w:font>
  <w:font w:name="方正小标宋_GBK">
    <w:altName w:val="Arial Unicode MS"/>
    <w:charset w:val="86"/>
    <w:family w:val="auto"/>
    <w:pitch w:val="default"/>
    <w:sig w:usb0="00000000" w:usb1="00000000" w:usb2="00000000" w:usb3="00000000" w:csb0="00040000" w:csb1="00000000"/>
    <w:embedRegular r:id="rId2" w:subsetted="1" w:fontKey="{BBD2E83D-A18D-4855-8C7E-D033F5F760C7}"/>
  </w:font>
  <w:font w:name="仿宋_GB2312">
    <w:altName w:val="仿宋"/>
    <w:panose1 w:val="02010609030101010101"/>
    <w:charset w:val="86"/>
    <w:family w:val="modern"/>
    <w:pitch w:val="fixed"/>
    <w:sig w:usb0="00000001" w:usb1="080E0000" w:usb2="00000010" w:usb3="00000000" w:csb0="00040000" w:csb1="00000000"/>
    <w:embedRegular r:id="rId3" w:subsetted="1" w:fontKey="{77FDE9E2-6C10-4675-B8CE-EF8A85E547EB}"/>
    <w:embedBold r:id="rId4" w:subsetted="1" w:fontKey="{6EB5EA76-E5E5-42FF-B8C6-A93FE33A485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3A" w:rsidRDefault="0040083A" w:rsidP="00E25FDD">
      <w:r>
        <w:separator/>
      </w:r>
    </w:p>
  </w:footnote>
  <w:footnote w:type="continuationSeparator" w:id="1">
    <w:p w:rsidR="0040083A" w:rsidRDefault="0040083A" w:rsidP="00E25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HorizontalSpacing w:val="107"/>
  <w:drawingGridVerticalSpacing w:val="15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YWU2YzJiMGM5NTczNzRjZjA1ODdlODI0NjMwNWZhOTkifQ=="/>
  </w:docVars>
  <w:rsids>
    <w:rsidRoot w:val="00B85E74"/>
    <w:rsid w:val="87FF234C"/>
    <w:rsid w:val="000061BC"/>
    <w:rsid w:val="000075B1"/>
    <w:rsid w:val="00016273"/>
    <w:rsid w:val="00041818"/>
    <w:rsid w:val="00061E4A"/>
    <w:rsid w:val="00066AB2"/>
    <w:rsid w:val="00067DF0"/>
    <w:rsid w:val="000720E5"/>
    <w:rsid w:val="00087F4D"/>
    <w:rsid w:val="00093C10"/>
    <w:rsid w:val="000A6EAF"/>
    <w:rsid w:val="000B126B"/>
    <w:rsid w:val="000B5751"/>
    <w:rsid w:val="000D0592"/>
    <w:rsid w:val="000D3343"/>
    <w:rsid w:val="000E1EA0"/>
    <w:rsid w:val="00150FDA"/>
    <w:rsid w:val="001644C2"/>
    <w:rsid w:val="001714D4"/>
    <w:rsid w:val="001763EC"/>
    <w:rsid w:val="00176C21"/>
    <w:rsid w:val="0018066A"/>
    <w:rsid w:val="001809A9"/>
    <w:rsid w:val="00191E3D"/>
    <w:rsid w:val="00196A54"/>
    <w:rsid w:val="001A3CCF"/>
    <w:rsid w:val="001A5866"/>
    <w:rsid w:val="001B6B9F"/>
    <w:rsid w:val="001E7B9F"/>
    <w:rsid w:val="002128AE"/>
    <w:rsid w:val="00220FC0"/>
    <w:rsid w:val="0022256F"/>
    <w:rsid w:val="00226B3B"/>
    <w:rsid w:val="00233B41"/>
    <w:rsid w:val="002367A4"/>
    <w:rsid w:val="00240724"/>
    <w:rsid w:val="002445A7"/>
    <w:rsid w:val="00260F92"/>
    <w:rsid w:val="00267A6D"/>
    <w:rsid w:val="00270DE2"/>
    <w:rsid w:val="00281092"/>
    <w:rsid w:val="00285B48"/>
    <w:rsid w:val="002A2395"/>
    <w:rsid w:val="002B5891"/>
    <w:rsid w:val="002C4382"/>
    <w:rsid w:val="002F2970"/>
    <w:rsid w:val="002F3FDD"/>
    <w:rsid w:val="002F425F"/>
    <w:rsid w:val="002F49D7"/>
    <w:rsid w:val="002F5D64"/>
    <w:rsid w:val="002F75B6"/>
    <w:rsid w:val="00302F34"/>
    <w:rsid w:val="003275E2"/>
    <w:rsid w:val="00333AC0"/>
    <w:rsid w:val="00343A76"/>
    <w:rsid w:val="00350513"/>
    <w:rsid w:val="00352388"/>
    <w:rsid w:val="00363FD0"/>
    <w:rsid w:val="00374925"/>
    <w:rsid w:val="00385099"/>
    <w:rsid w:val="003A476A"/>
    <w:rsid w:val="003B25D1"/>
    <w:rsid w:val="003B4491"/>
    <w:rsid w:val="003B4E7E"/>
    <w:rsid w:val="003C69F3"/>
    <w:rsid w:val="003D2DF6"/>
    <w:rsid w:val="003F3F4F"/>
    <w:rsid w:val="003F61B9"/>
    <w:rsid w:val="0040023B"/>
    <w:rsid w:val="0040083A"/>
    <w:rsid w:val="004063B6"/>
    <w:rsid w:val="0041600F"/>
    <w:rsid w:val="0042689E"/>
    <w:rsid w:val="0043338B"/>
    <w:rsid w:val="00444443"/>
    <w:rsid w:val="00447BFE"/>
    <w:rsid w:val="00461671"/>
    <w:rsid w:val="00462A80"/>
    <w:rsid w:val="00467AB9"/>
    <w:rsid w:val="004749C4"/>
    <w:rsid w:val="00481A88"/>
    <w:rsid w:val="004839DE"/>
    <w:rsid w:val="004947D0"/>
    <w:rsid w:val="00496B4F"/>
    <w:rsid w:val="00496EE4"/>
    <w:rsid w:val="004A1862"/>
    <w:rsid w:val="004A562E"/>
    <w:rsid w:val="004C64E0"/>
    <w:rsid w:val="004D1BC1"/>
    <w:rsid w:val="004D740A"/>
    <w:rsid w:val="004F033F"/>
    <w:rsid w:val="004F1698"/>
    <w:rsid w:val="005058DF"/>
    <w:rsid w:val="00533A6D"/>
    <w:rsid w:val="005365B4"/>
    <w:rsid w:val="0055174F"/>
    <w:rsid w:val="0055681F"/>
    <w:rsid w:val="00561974"/>
    <w:rsid w:val="0057786F"/>
    <w:rsid w:val="00585BCF"/>
    <w:rsid w:val="005A4DF8"/>
    <w:rsid w:val="005B4E25"/>
    <w:rsid w:val="005C589B"/>
    <w:rsid w:val="005D3542"/>
    <w:rsid w:val="005D69E0"/>
    <w:rsid w:val="005E144E"/>
    <w:rsid w:val="005F1C66"/>
    <w:rsid w:val="005F4285"/>
    <w:rsid w:val="006026DC"/>
    <w:rsid w:val="006477AC"/>
    <w:rsid w:val="00675B84"/>
    <w:rsid w:val="00682FDC"/>
    <w:rsid w:val="00685E49"/>
    <w:rsid w:val="006C707F"/>
    <w:rsid w:val="006E5AE1"/>
    <w:rsid w:val="006F5912"/>
    <w:rsid w:val="00706F7E"/>
    <w:rsid w:val="0071015C"/>
    <w:rsid w:val="0071157D"/>
    <w:rsid w:val="00713C9D"/>
    <w:rsid w:val="0071542E"/>
    <w:rsid w:val="007277D8"/>
    <w:rsid w:val="00750684"/>
    <w:rsid w:val="00757D3E"/>
    <w:rsid w:val="007615AA"/>
    <w:rsid w:val="007708DC"/>
    <w:rsid w:val="00781A41"/>
    <w:rsid w:val="00781C94"/>
    <w:rsid w:val="00794BC1"/>
    <w:rsid w:val="007A26F0"/>
    <w:rsid w:val="007A6596"/>
    <w:rsid w:val="007A7560"/>
    <w:rsid w:val="007C7B41"/>
    <w:rsid w:val="007D530C"/>
    <w:rsid w:val="007E74C7"/>
    <w:rsid w:val="007F1ACC"/>
    <w:rsid w:val="007F3CBA"/>
    <w:rsid w:val="0081239A"/>
    <w:rsid w:val="00831144"/>
    <w:rsid w:val="00833A31"/>
    <w:rsid w:val="00833A50"/>
    <w:rsid w:val="00835E93"/>
    <w:rsid w:val="008368B5"/>
    <w:rsid w:val="00842394"/>
    <w:rsid w:val="00864748"/>
    <w:rsid w:val="00876B57"/>
    <w:rsid w:val="00893B3B"/>
    <w:rsid w:val="008953AB"/>
    <w:rsid w:val="00896B31"/>
    <w:rsid w:val="008A5FD3"/>
    <w:rsid w:val="008A65AE"/>
    <w:rsid w:val="008B5AD1"/>
    <w:rsid w:val="008C1321"/>
    <w:rsid w:val="008D196B"/>
    <w:rsid w:val="008D2318"/>
    <w:rsid w:val="008E42C9"/>
    <w:rsid w:val="008F6112"/>
    <w:rsid w:val="009003B5"/>
    <w:rsid w:val="00921238"/>
    <w:rsid w:val="0092208B"/>
    <w:rsid w:val="00925721"/>
    <w:rsid w:val="00927520"/>
    <w:rsid w:val="00930969"/>
    <w:rsid w:val="00932F23"/>
    <w:rsid w:val="009355DF"/>
    <w:rsid w:val="00955E78"/>
    <w:rsid w:val="00972B66"/>
    <w:rsid w:val="0097654F"/>
    <w:rsid w:val="009A4590"/>
    <w:rsid w:val="009B0FBF"/>
    <w:rsid w:val="009C1E5F"/>
    <w:rsid w:val="009D2117"/>
    <w:rsid w:val="009E7196"/>
    <w:rsid w:val="009F324D"/>
    <w:rsid w:val="00A211FD"/>
    <w:rsid w:val="00A2385D"/>
    <w:rsid w:val="00A31EDE"/>
    <w:rsid w:val="00A35649"/>
    <w:rsid w:val="00A423D8"/>
    <w:rsid w:val="00A43576"/>
    <w:rsid w:val="00A62266"/>
    <w:rsid w:val="00A62856"/>
    <w:rsid w:val="00A64EBB"/>
    <w:rsid w:val="00A67CC4"/>
    <w:rsid w:val="00A7454F"/>
    <w:rsid w:val="00A914DD"/>
    <w:rsid w:val="00A93539"/>
    <w:rsid w:val="00A9487E"/>
    <w:rsid w:val="00A96878"/>
    <w:rsid w:val="00AB3221"/>
    <w:rsid w:val="00AC0E0F"/>
    <w:rsid w:val="00AE4B2F"/>
    <w:rsid w:val="00B046F4"/>
    <w:rsid w:val="00B13F18"/>
    <w:rsid w:val="00B26533"/>
    <w:rsid w:val="00B36A7C"/>
    <w:rsid w:val="00B37125"/>
    <w:rsid w:val="00B5608D"/>
    <w:rsid w:val="00B60141"/>
    <w:rsid w:val="00B71B35"/>
    <w:rsid w:val="00B75B8F"/>
    <w:rsid w:val="00B85E74"/>
    <w:rsid w:val="00B90021"/>
    <w:rsid w:val="00BA0222"/>
    <w:rsid w:val="00BA32D4"/>
    <w:rsid w:val="00BB3561"/>
    <w:rsid w:val="00BB4367"/>
    <w:rsid w:val="00BB5D6E"/>
    <w:rsid w:val="00BC1990"/>
    <w:rsid w:val="00BC1B58"/>
    <w:rsid w:val="00BC474E"/>
    <w:rsid w:val="00BE5DFE"/>
    <w:rsid w:val="00BF2F5D"/>
    <w:rsid w:val="00BF52E6"/>
    <w:rsid w:val="00C03633"/>
    <w:rsid w:val="00C104D6"/>
    <w:rsid w:val="00C12E38"/>
    <w:rsid w:val="00C1755E"/>
    <w:rsid w:val="00C20D4D"/>
    <w:rsid w:val="00C74B41"/>
    <w:rsid w:val="00C92A8E"/>
    <w:rsid w:val="00CB4F2F"/>
    <w:rsid w:val="00CC394C"/>
    <w:rsid w:val="00CD1049"/>
    <w:rsid w:val="00D13B53"/>
    <w:rsid w:val="00D32A65"/>
    <w:rsid w:val="00D33238"/>
    <w:rsid w:val="00D36EAD"/>
    <w:rsid w:val="00D6401D"/>
    <w:rsid w:val="00D71FF0"/>
    <w:rsid w:val="00D725BA"/>
    <w:rsid w:val="00D73BAE"/>
    <w:rsid w:val="00D92982"/>
    <w:rsid w:val="00D929EA"/>
    <w:rsid w:val="00D95BC0"/>
    <w:rsid w:val="00DA00BC"/>
    <w:rsid w:val="00DA41B0"/>
    <w:rsid w:val="00DB2695"/>
    <w:rsid w:val="00E210BD"/>
    <w:rsid w:val="00E25FDD"/>
    <w:rsid w:val="00E267B8"/>
    <w:rsid w:val="00E30C40"/>
    <w:rsid w:val="00E91681"/>
    <w:rsid w:val="00E94487"/>
    <w:rsid w:val="00E94A2B"/>
    <w:rsid w:val="00E97D60"/>
    <w:rsid w:val="00EA4B1B"/>
    <w:rsid w:val="00EB34A8"/>
    <w:rsid w:val="00EB6BD1"/>
    <w:rsid w:val="00EB7587"/>
    <w:rsid w:val="00EC151C"/>
    <w:rsid w:val="00ED16F8"/>
    <w:rsid w:val="00ED2DD6"/>
    <w:rsid w:val="00ED7338"/>
    <w:rsid w:val="00EF67C4"/>
    <w:rsid w:val="00F2145E"/>
    <w:rsid w:val="00F32CD0"/>
    <w:rsid w:val="00F36683"/>
    <w:rsid w:val="00F44560"/>
    <w:rsid w:val="00F52E0A"/>
    <w:rsid w:val="00F57EC9"/>
    <w:rsid w:val="00F634DF"/>
    <w:rsid w:val="00F63A0F"/>
    <w:rsid w:val="00F82DE0"/>
    <w:rsid w:val="00F94647"/>
    <w:rsid w:val="00FA17FA"/>
    <w:rsid w:val="00FB7F6A"/>
    <w:rsid w:val="00FC07B9"/>
    <w:rsid w:val="00FC516C"/>
    <w:rsid w:val="00FF20EB"/>
    <w:rsid w:val="020A5DDE"/>
    <w:rsid w:val="04111972"/>
    <w:rsid w:val="0422283E"/>
    <w:rsid w:val="04360678"/>
    <w:rsid w:val="0445091D"/>
    <w:rsid w:val="049D3DD9"/>
    <w:rsid w:val="05321459"/>
    <w:rsid w:val="074B0F68"/>
    <w:rsid w:val="08DA4B6F"/>
    <w:rsid w:val="0A646196"/>
    <w:rsid w:val="0B054AB6"/>
    <w:rsid w:val="0B806A46"/>
    <w:rsid w:val="0CB64914"/>
    <w:rsid w:val="0CE55BE4"/>
    <w:rsid w:val="0E8A2C2E"/>
    <w:rsid w:val="0FE27C92"/>
    <w:rsid w:val="10581F31"/>
    <w:rsid w:val="10CD5B69"/>
    <w:rsid w:val="10EA0134"/>
    <w:rsid w:val="1213469B"/>
    <w:rsid w:val="163534CE"/>
    <w:rsid w:val="1858723F"/>
    <w:rsid w:val="18AA6A5F"/>
    <w:rsid w:val="18D77014"/>
    <w:rsid w:val="1FBB4F3A"/>
    <w:rsid w:val="1FF0394A"/>
    <w:rsid w:val="23D12776"/>
    <w:rsid w:val="274C3CB8"/>
    <w:rsid w:val="294D3A58"/>
    <w:rsid w:val="2C1C3440"/>
    <w:rsid w:val="2E460E4C"/>
    <w:rsid w:val="30924312"/>
    <w:rsid w:val="30CB701F"/>
    <w:rsid w:val="34835121"/>
    <w:rsid w:val="34A72B1F"/>
    <w:rsid w:val="354875FC"/>
    <w:rsid w:val="358C31F9"/>
    <w:rsid w:val="36E736E4"/>
    <w:rsid w:val="388F3F63"/>
    <w:rsid w:val="3A2C2BA7"/>
    <w:rsid w:val="3C6E4BD1"/>
    <w:rsid w:val="43D01068"/>
    <w:rsid w:val="459B79BB"/>
    <w:rsid w:val="4BA148BA"/>
    <w:rsid w:val="4CFC2E92"/>
    <w:rsid w:val="4D49236D"/>
    <w:rsid w:val="4EAB4D88"/>
    <w:rsid w:val="4F7149E8"/>
    <w:rsid w:val="501B441D"/>
    <w:rsid w:val="50235868"/>
    <w:rsid w:val="517C638F"/>
    <w:rsid w:val="53C95B2C"/>
    <w:rsid w:val="53CC19DB"/>
    <w:rsid w:val="55BC7D0E"/>
    <w:rsid w:val="587F6039"/>
    <w:rsid w:val="5EC752A3"/>
    <w:rsid w:val="60B87A20"/>
    <w:rsid w:val="6475718A"/>
    <w:rsid w:val="64FB15DB"/>
    <w:rsid w:val="67166D2F"/>
    <w:rsid w:val="67880396"/>
    <w:rsid w:val="69E533C0"/>
    <w:rsid w:val="6E004EB3"/>
    <w:rsid w:val="6F02465E"/>
    <w:rsid w:val="6F173018"/>
    <w:rsid w:val="70F03B20"/>
    <w:rsid w:val="71745684"/>
    <w:rsid w:val="729577FF"/>
    <w:rsid w:val="730F5648"/>
    <w:rsid w:val="740413BF"/>
    <w:rsid w:val="74BC20D7"/>
    <w:rsid w:val="75D1108E"/>
    <w:rsid w:val="75D27C98"/>
    <w:rsid w:val="76BA3592"/>
    <w:rsid w:val="772309FF"/>
    <w:rsid w:val="77D4203D"/>
    <w:rsid w:val="792F7C06"/>
    <w:rsid w:val="79BB51CC"/>
    <w:rsid w:val="7BF9E849"/>
    <w:rsid w:val="7F977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5FD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E25FDD"/>
    <w:pPr>
      <w:ind w:firstLineChars="100" w:firstLine="420"/>
    </w:pPr>
  </w:style>
  <w:style w:type="paragraph" w:styleId="a4">
    <w:name w:val="Body Text"/>
    <w:basedOn w:val="a"/>
    <w:uiPriority w:val="99"/>
    <w:unhideWhenUsed/>
    <w:qFormat/>
    <w:rsid w:val="00E25FDD"/>
  </w:style>
  <w:style w:type="paragraph" w:styleId="a5">
    <w:name w:val="annotation text"/>
    <w:basedOn w:val="a"/>
    <w:uiPriority w:val="99"/>
    <w:unhideWhenUsed/>
    <w:qFormat/>
    <w:rsid w:val="00E25FDD"/>
    <w:pPr>
      <w:jc w:val="left"/>
    </w:pPr>
  </w:style>
  <w:style w:type="paragraph" w:styleId="a6">
    <w:name w:val="Balloon Text"/>
    <w:basedOn w:val="a"/>
    <w:link w:val="Char"/>
    <w:uiPriority w:val="99"/>
    <w:unhideWhenUsed/>
    <w:qFormat/>
    <w:rsid w:val="00E25FDD"/>
    <w:rPr>
      <w:sz w:val="18"/>
      <w:szCs w:val="18"/>
    </w:rPr>
  </w:style>
  <w:style w:type="paragraph" w:styleId="a7">
    <w:name w:val="footer"/>
    <w:basedOn w:val="a"/>
    <w:link w:val="Char0"/>
    <w:uiPriority w:val="99"/>
    <w:unhideWhenUsed/>
    <w:qFormat/>
    <w:rsid w:val="00E25FDD"/>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E25FD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E25FD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1"/>
    <w:uiPriority w:val="22"/>
    <w:qFormat/>
    <w:rsid w:val="00E25FDD"/>
    <w:rPr>
      <w:b/>
      <w:bCs/>
    </w:rPr>
  </w:style>
  <w:style w:type="character" w:styleId="ab">
    <w:name w:val="page number"/>
    <w:qFormat/>
    <w:rsid w:val="00E25FDD"/>
  </w:style>
  <w:style w:type="table" w:styleId="ac">
    <w:name w:val="Table Grid"/>
    <w:basedOn w:val="a2"/>
    <w:uiPriority w:val="59"/>
    <w:qFormat/>
    <w:rsid w:val="00E25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E25FDD"/>
    <w:rPr>
      <w:sz w:val="18"/>
      <w:szCs w:val="18"/>
    </w:rPr>
  </w:style>
  <w:style w:type="character" w:customStyle="1" w:styleId="Char0">
    <w:name w:val="页脚 Char"/>
    <w:basedOn w:val="a1"/>
    <w:link w:val="a7"/>
    <w:uiPriority w:val="99"/>
    <w:qFormat/>
    <w:rsid w:val="00E25FDD"/>
    <w:rPr>
      <w:sz w:val="18"/>
      <w:szCs w:val="18"/>
    </w:rPr>
  </w:style>
  <w:style w:type="paragraph" w:customStyle="1" w:styleId="text-tag">
    <w:name w:val="text-tag"/>
    <w:basedOn w:val="a"/>
    <w:qFormat/>
    <w:rsid w:val="00E25FD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unhideWhenUsed/>
    <w:qFormat/>
    <w:rsid w:val="00E25FDD"/>
    <w:pPr>
      <w:ind w:firstLineChars="200" w:firstLine="420"/>
    </w:pPr>
  </w:style>
  <w:style w:type="character" w:customStyle="1" w:styleId="Char">
    <w:name w:val="批注框文本 Char"/>
    <w:basedOn w:val="a1"/>
    <w:link w:val="a6"/>
    <w:uiPriority w:val="99"/>
    <w:semiHidden/>
    <w:qFormat/>
    <w:rsid w:val="00E25FD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HP</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关于开展2022年省级科技企业孵化器和</dc:title>
  <dc:creator>Windows 用户</dc:creator>
  <cp:lastModifiedBy>Windows 用户</cp:lastModifiedBy>
  <cp:revision>2</cp:revision>
  <cp:lastPrinted>2024-08-12T11:07:00Z</cp:lastPrinted>
  <dcterms:created xsi:type="dcterms:W3CDTF">2024-08-15T01:10:00Z</dcterms:created>
  <dcterms:modified xsi:type="dcterms:W3CDTF">2024-08-15T01:10:00Z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D7D431C9FB074C9089BD251F003B8CAA</vt:lpwstr>
  </property>
</Properties>
</file>