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-2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厦门市生物医药产业高端人才评定标准</w:t>
      </w:r>
    </w:p>
    <w:p>
      <w:pPr>
        <w:snapToGrid w:val="0"/>
        <w:spacing w:line="579" w:lineRule="exact"/>
        <w:jc w:val="center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（征求意见稿）</w:t>
      </w:r>
    </w:p>
    <w:p>
      <w:pPr>
        <w:snapToGrid w:val="0"/>
        <w:spacing w:line="579" w:lineRule="exact"/>
        <w:jc w:val="center"/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</w:pPr>
    </w:p>
    <w:p>
      <w:pPr>
        <w:autoSpaceDE w:val="0"/>
        <w:adjustRightInd w:val="0"/>
        <w:snapToGrid w:val="0"/>
        <w:spacing w:line="579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厦门市生物医药产业高端人才由厦门市科学技术局按照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A类领军人才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B类骨干人才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C类优秀人才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进行评定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具体评定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标准如下：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基本条件</w:t>
      </w: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本标准适用于工商注册地、税务征管关系及统计关系在厦门市，具有独立法人资格，从事生物制品、医疗器械、化学制剂等生产、研发、服务的生物医药领域单位。</w:t>
      </w:r>
    </w:p>
    <w:p>
      <w:pPr>
        <w:autoSpaceDE w:val="0"/>
        <w:adjustRightInd w:val="0"/>
        <w:snapToGrid w:val="0"/>
        <w:spacing w:line="579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本标准适用于近3年引进的在本市生物医药企业从事生产、研发、管理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的人才，遵纪守法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近3年内无严重失信行为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具有良好的职业道德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与用人单位签订3年以上全职劳动合同并在用人单位任职满一年以上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海外引进人才是指在海外连续工作或学习3年以上，且从海外直接到本市工作不超过3年（超过3年视同国内引进人才）。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资格条件</w:t>
      </w:r>
    </w:p>
    <w:p>
      <w:pPr>
        <w:widowControl/>
        <w:numPr>
          <w:ilvl w:val="0"/>
          <w:numId w:val="2"/>
        </w:numPr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A类领军人才须满足以下条件之一：</w:t>
      </w:r>
    </w:p>
    <w:p>
      <w:pPr>
        <w:pStyle w:val="14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 xml:space="preserve">    1.从事生物医药研发、生产等相关部门技术岗位，取得博士学位且具有高级职称，年薪达到80万元以上。</w:t>
      </w:r>
    </w:p>
    <w:p>
      <w:pPr>
        <w:pStyle w:val="14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 xml:space="preserve">    2.从事生物医药管理岗位，取得博士学位，年薪达到80万元以上。</w:t>
      </w:r>
    </w:p>
    <w:p>
      <w:pPr>
        <w:pStyle w:val="14"/>
      </w:pPr>
      <w:r>
        <w:rPr>
          <w:rFonts w:hint="eastAsia" w:ascii="仿宋_GB2312" w:hAnsi="仿宋_GB2312" w:eastAsia="仿宋_GB2312" w:cs="仿宋_GB2312"/>
          <w:snapToGrid w:val="0"/>
          <w:kern w:val="0"/>
        </w:rPr>
        <w:t xml:space="preserve">    3.在世界500强、全球医药50强、全球医疗器械100强、中国医药工业100强企业担任过研发、生产、管理负责人或其他相应职务累计3年以上者。</w:t>
      </w:r>
    </w:p>
    <w:p>
      <w:pPr>
        <w:widowControl/>
        <w:numPr>
          <w:ilvl w:val="0"/>
          <w:numId w:val="2"/>
        </w:numPr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B类骨干人才须满足以下条件之一：</w:t>
      </w:r>
    </w:p>
    <w:p>
      <w:pPr>
        <w:pStyle w:val="14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 xml:space="preserve">    1.从事生物医药研发、生产等相关部门技术岗位，取得博士学位且具有中级职称，年薪达到50万元以上。</w:t>
      </w:r>
    </w:p>
    <w:p>
      <w:pPr>
        <w:pStyle w:val="14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 xml:space="preserve">    2.从事生物医药管理岗位，取得博士学位，年薪达到60万元以上。</w:t>
      </w:r>
    </w:p>
    <w:p>
      <w:pPr>
        <w:pStyle w:val="14"/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 xml:space="preserve">    3.在世界500强、全球医药50强、全球医疗器械100强、中国医药工业100强企业担任过二级业务部门研发、生产、管理负责人或其他相应职务累计3年以上者。</w:t>
      </w:r>
    </w:p>
    <w:p>
      <w:pPr>
        <w:widowControl/>
        <w:numPr>
          <w:ilvl w:val="0"/>
          <w:numId w:val="2"/>
        </w:numPr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C类优秀人才须满足以下条件之一：</w:t>
      </w:r>
    </w:p>
    <w:p>
      <w:pPr>
        <w:pStyle w:val="14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 xml:space="preserve">    1.从事生物医药研发、生产等相关部门技术岗位，取得硕士学位且具有中级职称，年薪达到30万元以上。</w:t>
      </w:r>
    </w:p>
    <w:p>
      <w:pPr>
        <w:pStyle w:val="14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 xml:space="preserve">    2.从事生物医药管理岗位，取得硕士学位，年薪达到40万元以上。</w:t>
      </w:r>
    </w:p>
    <w:p>
      <w:pPr>
        <w:ind w:firstLine="64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3.在生物医药企业担任过研发、生产、管理负责人或其他相应职务累计8年以上者，年薪达到30万元以上。</w:t>
      </w:r>
    </w:p>
    <w:p>
      <w:pPr>
        <w:autoSpaceDE w:val="0"/>
        <w:adjustRightInd w:val="0"/>
        <w:snapToGrid w:val="0"/>
        <w:spacing w:line="579" w:lineRule="exact"/>
        <w:ind w:firstLine="640" w:firstLineChars="200"/>
        <w:outlineLvl w:val="1"/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另外，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A类领军人才年龄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在60周岁以下(有特别突出贡献者，年龄条件可适当放宽)，B类骨干人才年龄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在50周岁以下，C类优秀人才年龄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在40周岁以下。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支持政策</w:t>
      </w:r>
    </w:p>
    <w:p>
      <w:pPr>
        <w:pStyle w:val="4"/>
        <w:numPr>
          <w:ilvl w:val="0"/>
          <w:numId w:val="3"/>
        </w:numPr>
        <w:suppressAutoHyphens/>
        <w:snapToGrid w:val="0"/>
        <w:spacing w:after="0" w:line="579" w:lineRule="exact"/>
        <w:ind w:left="0" w:leftChars="0" w:firstLine="640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对近3年新引进的A类领军人才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给予最高不超过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80万元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补贴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；B类骨干人才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给予最高不超过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50万元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补贴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；C类优秀人才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给予最高不超过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30万元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补贴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；以上奖励按40%、30%、30%比例分3年发放。海外引进人才另一次性奖励5万元。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同一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企业年度补贴总额不超过200万元。</w:t>
      </w:r>
    </w:p>
    <w:p>
      <w:pPr>
        <w:pStyle w:val="4"/>
        <w:numPr>
          <w:ilvl w:val="0"/>
          <w:numId w:val="3"/>
        </w:numPr>
        <w:suppressAutoHyphens/>
        <w:snapToGrid w:val="0"/>
        <w:spacing w:after="0" w:line="579" w:lineRule="exact"/>
        <w:ind w:left="0" w:leftChars="0" w:firstLine="640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在补贴发放期间内，B、C类人才如满足更高层次人才认定条件，经审核通过的，后续补贴按照晋级后人才标准发放。</w:t>
      </w:r>
    </w:p>
    <w:p>
      <w:pPr>
        <w:pStyle w:val="4"/>
        <w:numPr>
          <w:ilvl w:val="0"/>
          <w:numId w:val="3"/>
        </w:numPr>
        <w:suppressAutoHyphens/>
        <w:snapToGrid w:val="0"/>
        <w:spacing w:after="0" w:line="579" w:lineRule="exact"/>
        <w:ind w:left="0" w:leftChars="0" w:firstLine="640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经认定的各类人才享受奖励补助后需在厦连续工作3年以上，未满足上述条件者，终止其奖励资格，并收回已拨付的相关补助资金。</w:t>
      </w:r>
    </w:p>
    <w:p>
      <w:pPr>
        <w:pStyle w:val="4"/>
        <w:numPr>
          <w:ilvl w:val="0"/>
          <w:numId w:val="3"/>
        </w:numPr>
        <w:suppressAutoHyphens/>
        <w:snapToGrid w:val="0"/>
        <w:spacing w:after="0" w:line="579" w:lineRule="exact"/>
        <w:ind w:left="0" w:leftChars="0" w:firstLine="640" w:firstLineChars="20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支持对象自申请之日起，如申请主体被列入失信联合惩戒对象名单、失信被执行人名单，或受到行政处罚、行业处分的，取消补助资格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并收回已拨付的相关补助资金。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第四条、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评定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程序</w:t>
      </w:r>
    </w:p>
    <w:p>
      <w:pPr>
        <w:pStyle w:val="4"/>
        <w:numPr>
          <w:ilvl w:val="0"/>
          <w:numId w:val="0"/>
        </w:numPr>
        <w:suppressAutoHyphens/>
        <w:snapToGrid w:val="0"/>
        <w:spacing w:after="0" w:line="579" w:lineRule="exact"/>
        <w:ind w:left="0" w:leftChars="0" w:firstLine="640" w:firstLineChars="20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市科技局发布申报通知，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组织企业申报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。</w:t>
      </w:r>
    </w:p>
    <w:p>
      <w:pPr>
        <w:pStyle w:val="4"/>
        <w:numPr>
          <w:ilvl w:val="0"/>
          <w:numId w:val="0"/>
        </w:numPr>
        <w:suppressAutoHyphens/>
        <w:snapToGrid w:val="0"/>
        <w:spacing w:after="0" w:line="579" w:lineRule="exact"/>
        <w:ind w:left="0" w:leftChars="0" w:firstLine="640" w:firstLineChars="200"/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（二）市科技局组织专家进行评审，评审通过后由市科技局确认。</w:t>
      </w:r>
    </w:p>
    <w:p>
      <w:pPr>
        <w:pStyle w:val="4"/>
        <w:suppressAutoHyphens/>
        <w:snapToGrid w:val="0"/>
        <w:spacing w:after="0" w:line="579" w:lineRule="exact"/>
        <w:ind w:left="0" w:leftChars="0" w:firstLine="643" w:firstLineChars="200"/>
        <w:rPr>
          <w:rFonts w:ascii="仿宋_GB2312" w:hAnsi="仿宋_GB2312" w:eastAsia="仿宋_GB2312" w:cs="仿宋_GB2312"/>
          <w:b/>
          <w:snapToGrid w:val="0"/>
          <w:kern w:val="0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</w:rPr>
        <w:t>第五条、其它</w:t>
      </w:r>
    </w:p>
    <w:p>
      <w:pPr>
        <w:pStyle w:val="4"/>
        <w:suppressAutoHyphens/>
        <w:snapToGrid w:val="0"/>
        <w:spacing w:after="0" w:line="579" w:lineRule="exact"/>
        <w:ind w:left="0" w:leftChars="0" w:firstLine="640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（一）世界500强名单指申请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当年最新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入选《财富》杂志公布的“全球最大五百家公司”排行榜企业或直接控股子公司；全球医药50强指申请申请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当年最新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入选《Pharm</w:t>
      </w:r>
      <w:r>
        <w:rPr>
          <w:rFonts w:ascii="仿宋_GB2312" w:hAnsi="仿宋_GB2312" w:eastAsia="仿宋_GB2312" w:cs="仿宋_GB2312"/>
          <w:snapToGrid w:val="0"/>
          <w:kern w:val="0"/>
        </w:rPr>
        <w:t>E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xec》杂志发布榜单的公司；全球医疗器械100强指申请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当年最新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入选Q</w:t>
      </w:r>
      <w:r>
        <w:rPr>
          <w:rFonts w:ascii="仿宋_GB2312" w:hAnsi="仿宋_GB2312" w:eastAsia="仿宋_GB2312" w:cs="仿宋_GB2312"/>
          <w:snapToGrid w:val="0"/>
          <w:kern w:val="0"/>
        </w:rPr>
        <w:t>MED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网站发布的榜单；中国医药工业100强企业指申请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当年最新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入选中国医药工业信息中心发布的“中国医药工业百强企业”榜单。</w:t>
      </w:r>
    </w:p>
    <w:p>
      <w:pPr>
        <w:pStyle w:val="4"/>
        <w:suppressAutoHyphens/>
        <w:snapToGrid w:val="0"/>
        <w:spacing w:after="0" w:line="579" w:lineRule="exact"/>
        <w:ind w:left="0" w:leftChars="0" w:firstLine="640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（二）本标准提及的“年薪”指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申请主体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在用人单位工作期间取得与任职或者受雇有关的收入，即根据《中华人民共和国</w:t>
      </w:r>
      <w:r>
        <w:rPr>
          <w:rFonts w:hint="eastAsia" w:ascii="仿宋_GB2312" w:hAnsi="仿宋_GB2312" w:eastAsia="仿宋_GB2312" w:cs="仿宋_GB2312"/>
          <w:snapToGrid w:val="0"/>
          <w:kern w:val="0"/>
          <w:lang w:val="en-US" w:eastAsia="zh-CN"/>
        </w:rPr>
        <w:t>个人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kern w:val="0"/>
        </w:rPr>
        <w:t>所得税法实施条例》(中华人民共和国国务院令第707号)第六条规定的工资、薪金所得，包括个人因任职或者受雇取得的工资、薪金、奖金、年终加薪、劳动分红、津贴、补贴以及与任职或者受雇有关的其他所得。“工资、薪金”不含个体工商户的生产、经营所得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对企事业单位的承包经营、承租经营所得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劳务报酬所得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稿酬所得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特许权使用费所得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利息、股息、红利所得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财产租赁所得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偶然所得等。</w:t>
      </w:r>
    </w:p>
    <w:p>
      <w:pPr>
        <w:pStyle w:val="4"/>
        <w:suppressAutoHyphens/>
        <w:snapToGrid w:val="0"/>
        <w:spacing w:after="0" w:line="579" w:lineRule="exact"/>
        <w:ind w:left="0" w:leftChars="0" w:firstLine="640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ascii="仿宋_GB2312" w:hAnsi="仿宋_GB2312" w:eastAsia="仿宋_GB2312" w:cs="仿宋_GB2312"/>
          <w:snapToGrid w:val="0"/>
          <w:kern w:val="0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三</w:t>
      </w:r>
      <w:r>
        <w:rPr>
          <w:rFonts w:ascii="仿宋_GB2312" w:hAnsi="仿宋_GB2312" w:eastAsia="仿宋_GB2312" w:cs="仿宋_GB2312"/>
          <w:snapToGrid w:val="0"/>
          <w:kern w:val="0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与省市其他同类扶持政策条款相关规定(含上级部门要求配套或承担资金的政策规定)有重复的，按照就高从优不重复的原则予以支持，另有规定除外。</w:t>
      </w:r>
    </w:p>
    <w:p>
      <w:pPr>
        <w:pStyle w:val="4"/>
        <w:suppressAutoHyphens/>
        <w:snapToGrid w:val="0"/>
        <w:spacing w:after="0" w:line="579" w:lineRule="exact"/>
        <w:ind w:left="0" w:leftChars="0" w:firstLine="640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ascii="仿宋_GB2312" w:hAnsi="仿宋_GB2312" w:eastAsia="仿宋_GB2312" w:cs="仿宋_GB2312"/>
          <w:snapToGrid w:val="0"/>
          <w:kern w:val="0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四</w:t>
      </w:r>
      <w:r>
        <w:rPr>
          <w:rFonts w:ascii="仿宋_GB2312" w:hAnsi="仿宋_GB2312" w:eastAsia="仿宋_GB2312" w:cs="仿宋_GB2312"/>
          <w:snapToGrid w:val="0"/>
          <w:kern w:val="0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</w:rPr>
        <w:t>本标准自印发之日起施行，有效期三年。</w:t>
      </w:r>
    </w:p>
    <w:p>
      <w:pPr>
        <w:pStyle w:val="4"/>
        <w:suppressAutoHyphens/>
        <w:snapToGrid w:val="0"/>
        <w:spacing w:after="0" w:line="579" w:lineRule="exact"/>
        <w:ind w:left="0" w:leftChars="0" w:firstLine="640" w:firstLineChars="20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ascii="仿宋_GB2312" w:hAnsi="仿宋_GB2312" w:eastAsia="仿宋_GB2312" w:cs="仿宋_GB2312"/>
          <w:snapToGrid w:val="0"/>
          <w:kern w:val="0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五</w:t>
      </w:r>
      <w:r>
        <w:rPr>
          <w:rFonts w:ascii="仿宋_GB2312" w:hAnsi="仿宋_GB2312" w:eastAsia="仿宋_GB2312" w:cs="仿宋_GB2312"/>
          <w:snapToGrid w:val="0"/>
          <w:kern w:val="0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lang w:eastAsia="zh-CN"/>
        </w:rPr>
        <w:t>相关条款由市科技局负责解释，联系电话：</w:t>
      </w:r>
      <w:r>
        <w:rPr>
          <w:rFonts w:hint="eastAsia" w:ascii="仿宋_GB2312" w:hAnsi="仿宋_GB2312" w:eastAsia="仿宋_GB2312" w:cs="仿宋_GB2312"/>
          <w:snapToGrid w:val="0"/>
          <w:kern w:val="0"/>
          <w:lang w:val="en-US" w:eastAsia="zh-CN"/>
        </w:rPr>
        <w:t>0592-2021860</w:t>
      </w:r>
      <w:r>
        <w:rPr>
          <w:rFonts w:ascii="仿宋_GB2312" w:hAnsi="仿宋_GB2312" w:eastAsia="仿宋_GB2312" w:cs="仿宋_GB2312"/>
          <w:snapToGrid w:val="0"/>
          <w:kern w:val="0"/>
        </w:rPr>
        <w:t>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00"/>
    <w:family w:val="script"/>
    <w:pitch w:val="default"/>
    <w:sig w:usb0="00000000" w:usb1="00000000" w:usb2="00000010" w:usb3="00000000" w:csb0="0004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94D69"/>
    <w:multiLevelType w:val="singleLevel"/>
    <w:tmpl w:val="AE994D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FEFB21"/>
    <w:multiLevelType w:val="singleLevel"/>
    <w:tmpl w:val="F7FEFB21"/>
    <w:lvl w:ilvl="0" w:tentative="0">
      <w:start w:val="1"/>
      <w:numFmt w:val="chineseCounting"/>
      <w:suff w:val="nothing"/>
      <w:lvlText w:val="第%1条、"/>
      <w:lvlJc w:val="left"/>
      <w:rPr>
        <w:rFonts w:hint="eastAsia"/>
      </w:rPr>
    </w:lvl>
  </w:abstractNum>
  <w:abstractNum w:abstractNumId="2">
    <w:nsid w:val="7EDE5F50"/>
    <w:multiLevelType w:val="singleLevel"/>
    <w:tmpl w:val="7EDE5F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ZWJlMGI0YzNhYTUyZGJlMzc0NWViMmVjYTNhZmIifQ=="/>
  </w:docVars>
  <w:rsids>
    <w:rsidRoot w:val="00AC4346"/>
    <w:rsid w:val="001B2D13"/>
    <w:rsid w:val="001F3CF4"/>
    <w:rsid w:val="002959DE"/>
    <w:rsid w:val="004B33F7"/>
    <w:rsid w:val="00514BB0"/>
    <w:rsid w:val="00695A27"/>
    <w:rsid w:val="007C1121"/>
    <w:rsid w:val="00802037"/>
    <w:rsid w:val="009919BA"/>
    <w:rsid w:val="00AC4346"/>
    <w:rsid w:val="2DDBC0CD"/>
    <w:rsid w:val="33BF66CF"/>
    <w:rsid w:val="3EDDDA93"/>
    <w:rsid w:val="771F39D5"/>
    <w:rsid w:val="7ECD471A"/>
    <w:rsid w:val="9AF7715C"/>
    <w:rsid w:val="B17457F2"/>
    <w:rsid w:val="BFF4A365"/>
    <w:rsid w:val="DEEE4A36"/>
    <w:rsid w:val="EEFF83BB"/>
    <w:rsid w:val="FB7FC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Body Text Indent 2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3"/>
    <w:qFormat/>
    <w:uiPriority w:val="0"/>
  </w:style>
  <w:style w:type="character" w:customStyle="1" w:styleId="11">
    <w:name w:val="批注框文本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1.正文"/>
    <w:next w:val="1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customStyle="1" w:styleId="15">
    <w:name w:val="默认段落字体1"/>
    <w:qFormat/>
    <w:uiPriority w:val="0"/>
  </w:style>
  <w:style w:type="paragraph" w:customStyle="1" w:styleId="16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7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404</Words>
  <Characters>2303</Characters>
  <Lines>19</Lines>
  <Paragraphs>5</Paragraphs>
  <TotalTime>4</TotalTime>
  <ScaleCrop>false</ScaleCrop>
  <LinksUpToDate>false</LinksUpToDate>
  <CharactersWithSpaces>2702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2018-11-29T17:47:00Z</dcterms:created>
  <dc:creator>xmadmin</dc:creator>
  <cp:lastModifiedBy>也</cp:lastModifiedBy>
  <cp:lastPrinted>2023-12-20T17:13:00Z</cp:lastPrinted>
  <dcterms:modified xsi:type="dcterms:W3CDTF">2023-12-28T08:33:18Z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D37CF8F1D704D2204294826522588CD9</vt:lpwstr>
  </property>
</Properties>
</file>